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92437" w14:textId="26A40CDF" w:rsidR="00D50246" w:rsidRDefault="00E96661" w:rsidP="00FB1A24">
      <w:pPr>
        <w:pStyle w:val="NoSpacing"/>
      </w:pPr>
      <w:r>
        <w:rPr>
          <w:noProof/>
        </w:rPr>
        <w:drawing>
          <wp:anchor distT="0" distB="0" distL="114300" distR="114300" simplePos="0" relativeHeight="251661328" behindDoc="1" locked="0" layoutInCell="1" allowOverlap="1" wp14:anchorId="1E3067F5" wp14:editId="5C41540B">
            <wp:simplePos x="0" y="0"/>
            <wp:positionH relativeFrom="column">
              <wp:posOffset>-95534</wp:posOffset>
            </wp:positionH>
            <wp:positionV relativeFrom="paragraph">
              <wp:posOffset>434975</wp:posOffset>
            </wp:positionV>
            <wp:extent cx="1485900" cy="686435"/>
            <wp:effectExtent l="0" t="0" r="0" b="0"/>
            <wp:wrapTight wrapText="bothSides">
              <wp:wrapPolygon edited="0">
                <wp:start x="0" y="0"/>
                <wp:lineTo x="0" y="20981"/>
                <wp:lineTo x="21323" y="20981"/>
                <wp:lineTo x="21323" y="0"/>
                <wp:lineTo x="0" y="0"/>
              </wp:wrapPolygon>
            </wp:wrapTight>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9">
                      <a:extLst>
                        <a:ext uri="{28A0092B-C50C-407E-A947-70E740481C1C}">
                          <a14:useLocalDpi xmlns:a14="http://schemas.microsoft.com/office/drawing/2010/main" val="0"/>
                        </a:ext>
                      </a:extLst>
                    </a:blip>
                    <a:stretch>
                      <a:fillRect/>
                    </a:stretch>
                  </pic:blipFill>
                  <pic:spPr>
                    <a:xfrm>
                      <a:off x="0" y="0"/>
                      <a:ext cx="1485900" cy="686435"/>
                    </a:xfrm>
                    <a:prstGeom prst="rect">
                      <a:avLst/>
                    </a:prstGeom>
                  </pic:spPr>
                </pic:pic>
              </a:graphicData>
            </a:graphic>
            <wp14:sizeRelH relativeFrom="page">
              <wp14:pctWidth>0</wp14:pctWidth>
            </wp14:sizeRelH>
            <wp14:sizeRelV relativeFrom="page">
              <wp14:pctHeight>0</wp14:pctHeight>
            </wp14:sizeRelV>
          </wp:anchor>
        </w:drawing>
      </w:r>
      <w:r w:rsidR="00982282">
        <w:rPr>
          <w:noProof/>
        </w:rPr>
        <w:drawing>
          <wp:anchor distT="0" distB="0" distL="114300" distR="114300" simplePos="0" relativeHeight="251658246" behindDoc="1" locked="0" layoutInCell="1" allowOverlap="1" wp14:anchorId="3930CAD7" wp14:editId="2D084213">
            <wp:simplePos x="0" y="0"/>
            <wp:positionH relativeFrom="column">
              <wp:posOffset>5281333</wp:posOffset>
            </wp:positionH>
            <wp:positionV relativeFrom="paragraph">
              <wp:posOffset>584930</wp:posOffset>
            </wp:positionV>
            <wp:extent cx="920750" cy="450850"/>
            <wp:effectExtent l="0" t="0" r="0" b="6350"/>
            <wp:wrapTight wrapText="bothSides">
              <wp:wrapPolygon edited="0">
                <wp:start x="0" y="0"/>
                <wp:lineTo x="0" y="20992"/>
                <wp:lineTo x="21004" y="20992"/>
                <wp:lineTo x="21004" y="0"/>
                <wp:lineTo x="0" y="0"/>
              </wp:wrapPolygon>
            </wp:wrapTight>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20750" cy="450850"/>
                    </a:xfrm>
                    <a:prstGeom prst="rect">
                      <a:avLst/>
                    </a:prstGeom>
                  </pic:spPr>
                </pic:pic>
              </a:graphicData>
            </a:graphic>
            <wp14:sizeRelH relativeFrom="page">
              <wp14:pctWidth>0</wp14:pctWidth>
            </wp14:sizeRelH>
            <wp14:sizeRelV relativeFrom="page">
              <wp14:pctHeight>0</wp14:pctHeight>
            </wp14:sizeRelV>
          </wp:anchor>
        </w:drawing>
      </w:r>
      <w:r w:rsidR="00151568">
        <w:rPr>
          <w:noProof/>
        </w:rPr>
        <w:drawing>
          <wp:anchor distT="0" distB="0" distL="114300" distR="114300" simplePos="0" relativeHeight="251658251" behindDoc="0" locked="0" layoutInCell="1" allowOverlap="1" wp14:anchorId="7EAD9A22" wp14:editId="0A078C05">
            <wp:simplePos x="0" y="0"/>
            <wp:positionH relativeFrom="column">
              <wp:posOffset>4639945</wp:posOffset>
            </wp:positionH>
            <wp:positionV relativeFrom="paragraph">
              <wp:posOffset>395605</wp:posOffset>
            </wp:positionV>
            <wp:extent cx="542925" cy="825500"/>
            <wp:effectExtent l="0" t="0" r="9525" b="0"/>
            <wp:wrapNone/>
            <wp:docPr id="13" name="Picture 1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925" cy="825500"/>
                    </a:xfrm>
                    <a:prstGeom prst="rect">
                      <a:avLst/>
                    </a:prstGeom>
                  </pic:spPr>
                </pic:pic>
              </a:graphicData>
            </a:graphic>
            <wp14:sizeRelH relativeFrom="page">
              <wp14:pctWidth>0</wp14:pctWidth>
            </wp14:sizeRelH>
            <wp14:sizeRelV relativeFrom="page">
              <wp14:pctHeight>0</wp14:pctHeight>
            </wp14:sizeRelV>
          </wp:anchor>
        </w:drawing>
      </w:r>
      <w:r w:rsidR="00707D33">
        <w:rPr>
          <w:noProof/>
        </w:rPr>
        <w:drawing>
          <wp:anchor distT="0" distB="0" distL="114300" distR="114300" simplePos="0" relativeHeight="251658254" behindDoc="1" locked="0" layoutInCell="1" allowOverlap="1" wp14:anchorId="31A39DC3" wp14:editId="1A831878">
            <wp:simplePos x="0" y="0"/>
            <wp:positionH relativeFrom="column">
              <wp:posOffset>3944952</wp:posOffset>
            </wp:positionH>
            <wp:positionV relativeFrom="paragraph">
              <wp:posOffset>456451</wp:posOffset>
            </wp:positionV>
            <wp:extent cx="571500" cy="718038"/>
            <wp:effectExtent l="0" t="0" r="0" b="6350"/>
            <wp:wrapTight wrapText="bothSides">
              <wp:wrapPolygon edited="0">
                <wp:start x="0" y="0"/>
                <wp:lineTo x="0" y="21218"/>
                <wp:lineTo x="20880" y="21218"/>
                <wp:lineTo x="2088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2">
                      <a:extLst>
                        <a:ext uri="{28A0092B-C50C-407E-A947-70E740481C1C}">
                          <a14:useLocalDpi xmlns:a14="http://schemas.microsoft.com/office/drawing/2010/main" val="0"/>
                        </a:ext>
                      </a:extLst>
                    </a:blip>
                    <a:stretch>
                      <a:fillRect/>
                    </a:stretch>
                  </pic:blipFill>
                  <pic:spPr>
                    <a:xfrm>
                      <a:off x="0" y="0"/>
                      <a:ext cx="571500" cy="718038"/>
                    </a:xfrm>
                    <a:prstGeom prst="rect">
                      <a:avLst/>
                    </a:prstGeom>
                  </pic:spPr>
                </pic:pic>
              </a:graphicData>
            </a:graphic>
            <wp14:sizeRelH relativeFrom="page">
              <wp14:pctWidth>0</wp14:pctWidth>
            </wp14:sizeRelH>
            <wp14:sizeRelV relativeFrom="page">
              <wp14:pctHeight>0</wp14:pctHeight>
            </wp14:sizeRelV>
          </wp:anchor>
        </w:drawing>
      </w:r>
      <w:r w:rsidR="00707D33">
        <w:rPr>
          <w:noProof/>
        </w:rPr>
        <w:drawing>
          <wp:anchor distT="0" distB="0" distL="114300" distR="114300" simplePos="0" relativeHeight="251658253" behindDoc="1" locked="0" layoutInCell="1" allowOverlap="1" wp14:anchorId="4647B042" wp14:editId="43FF95B9">
            <wp:simplePos x="0" y="0"/>
            <wp:positionH relativeFrom="column">
              <wp:posOffset>2873982</wp:posOffset>
            </wp:positionH>
            <wp:positionV relativeFrom="paragraph">
              <wp:posOffset>411528</wp:posOffset>
            </wp:positionV>
            <wp:extent cx="807720" cy="704215"/>
            <wp:effectExtent l="0" t="0" r="0" b="635"/>
            <wp:wrapTight wrapText="bothSides">
              <wp:wrapPolygon edited="0">
                <wp:start x="0" y="0"/>
                <wp:lineTo x="0" y="21035"/>
                <wp:lineTo x="20887" y="21035"/>
                <wp:lineTo x="20887" y="0"/>
                <wp:lineTo x="0" y="0"/>
              </wp:wrapPolygon>
            </wp:wrapTight>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07720" cy="704215"/>
                    </a:xfrm>
                    <a:prstGeom prst="rect">
                      <a:avLst/>
                    </a:prstGeom>
                  </pic:spPr>
                </pic:pic>
              </a:graphicData>
            </a:graphic>
            <wp14:sizeRelH relativeFrom="page">
              <wp14:pctWidth>0</wp14:pctWidth>
            </wp14:sizeRelH>
            <wp14:sizeRelV relativeFrom="page">
              <wp14:pctHeight>0</wp14:pctHeight>
            </wp14:sizeRelV>
          </wp:anchor>
        </w:drawing>
      </w:r>
      <w:r w:rsidR="00B52FF5">
        <w:rPr>
          <w:noProof/>
        </w:rPr>
        <w:drawing>
          <wp:anchor distT="0" distB="0" distL="114300" distR="114300" simplePos="0" relativeHeight="251659280" behindDoc="1" locked="0" layoutInCell="1" allowOverlap="1" wp14:anchorId="39EA68BE" wp14:editId="5E05CC84">
            <wp:simplePos x="0" y="0"/>
            <wp:positionH relativeFrom="column">
              <wp:posOffset>1552975</wp:posOffset>
            </wp:positionH>
            <wp:positionV relativeFrom="paragraph">
              <wp:posOffset>541001</wp:posOffset>
            </wp:positionV>
            <wp:extent cx="1232154" cy="497603"/>
            <wp:effectExtent l="0" t="0" r="6350" b="0"/>
            <wp:wrapTight wrapText="bothSides">
              <wp:wrapPolygon edited="0">
                <wp:start x="0" y="0"/>
                <wp:lineTo x="0" y="20690"/>
                <wp:lineTo x="21377" y="20690"/>
                <wp:lineTo x="21377" y="0"/>
                <wp:lineTo x="0" y="0"/>
              </wp:wrapPolygon>
            </wp:wrapTight>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2154" cy="497603"/>
                    </a:xfrm>
                    <a:prstGeom prst="rect">
                      <a:avLst/>
                    </a:prstGeom>
                    <a:noFill/>
                    <a:ln>
                      <a:noFill/>
                    </a:ln>
                  </pic:spPr>
                </pic:pic>
              </a:graphicData>
            </a:graphic>
            <wp14:sizeRelH relativeFrom="page">
              <wp14:pctWidth>0</wp14:pctWidth>
            </wp14:sizeRelH>
            <wp14:sizeRelV relativeFrom="page">
              <wp14:pctHeight>0</wp14:pctHeight>
            </wp14:sizeRelV>
          </wp:anchor>
        </w:drawing>
      </w:r>
      <w:r w:rsidR="000F177B">
        <w:rPr>
          <w:noProof/>
        </w:rPr>
        <w:drawing>
          <wp:anchor distT="0" distB="0" distL="114300" distR="114300" simplePos="0" relativeHeight="251658256" behindDoc="1" locked="0" layoutInCell="1" allowOverlap="1" wp14:anchorId="1542D9D9" wp14:editId="131BDDEC">
            <wp:simplePos x="0" y="0"/>
            <wp:positionH relativeFrom="column">
              <wp:posOffset>4865427</wp:posOffset>
            </wp:positionH>
            <wp:positionV relativeFrom="paragraph">
              <wp:posOffset>483</wp:posOffset>
            </wp:positionV>
            <wp:extent cx="1241946" cy="476875"/>
            <wp:effectExtent l="0" t="0" r="0" b="0"/>
            <wp:wrapTight wrapText="bothSides">
              <wp:wrapPolygon edited="0">
                <wp:start x="0" y="0"/>
                <wp:lineTo x="0" y="20736"/>
                <wp:lineTo x="21213" y="20736"/>
                <wp:lineTo x="21213" y="0"/>
                <wp:lineTo x="0" y="0"/>
              </wp:wrapPolygon>
            </wp:wrapTight>
            <wp:docPr id="16" name="Picture 1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1946" cy="476875"/>
                    </a:xfrm>
                    <a:prstGeom prst="rect">
                      <a:avLst/>
                    </a:prstGeom>
                  </pic:spPr>
                </pic:pic>
              </a:graphicData>
            </a:graphic>
            <wp14:sizeRelH relativeFrom="page">
              <wp14:pctWidth>0</wp14:pctWidth>
            </wp14:sizeRelH>
            <wp14:sizeRelV relativeFrom="page">
              <wp14:pctHeight>0</wp14:pctHeight>
            </wp14:sizeRelV>
          </wp:anchor>
        </w:drawing>
      </w:r>
      <w:r w:rsidR="000F177B">
        <w:rPr>
          <w:noProof/>
        </w:rPr>
        <w:drawing>
          <wp:anchor distT="0" distB="0" distL="114300" distR="114300" simplePos="0" relativeHeight="251658241" behindDoc="1" locked="0" layoutInCell="1" allowOverlap="1" wp14:anchorId="37D2004C" wp14:editId="35CD09AD">
            <wp:simplePos x="0" y="0"/>
            <wp:positionH relativeFrom="column">
              <wp:posOffset>3077552</wp:posOffset>
            </wp:positionH>
            <wp:positionV relativeFrom="paragraph">
              <wp:posOffset>521</wp:posOffset>
            </wp:positionV>
            <wp:extent cx="1682750" cy="452120"/>
            <wp:effectExtent l="0" t="0" r="0" b="5080"/>
            <wp:wrapTight wrapText="bothSides">
              <wp:wrapPolygon edited="0">
                <wp:start x="0" y="0"/>
                <wp:lineTo x="0" y="20933"/>
                <wp:lineTo x="21274" y="20933"/>
                <wp:lineTo x="21274"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82750" cy="452120"/>
                    </a:xfrm>
                    <a:prstGeom prst="rect">
                      <a:avLst/>
                    </a:prstGeom>
                  </pic:spPr>
                </pic:pic>
              </a:graphicData>
            </a:graphic>
            <wp14:sizeRelH relativeFrom="page">
              <wp14:pctWidth>0</wp14:pctWidth>
            </wp14:sizeRelH>
            <wp14:sizeRelV relativeFrom="page">
              <wp14:pctHeight>0</wp14:pctHeight>
            </wp14:sizeRelV>
          </wp:anchor>
        </w:drawing>
      </w:r>
      <w:r w:rsidR="000F177B">
        <w:rPr>
          <w:noProof/>
        </w:rPr>
        <w:drawing>
          <wp:anchor distT="0" distB="0" distL="114300" distR="114300" simplePos="0" relativeHeight="251658240" behindDoc="1" locked="0" layoutInCell="1" allowOverlap="1" wp14:anchorId="5B4D8060" wp14:editId="4EDE0DE8">
            <wp:simplePos x="0" y="0"/>
            <wp:positionH relativeFrom="column">
              <wp:posOffset>1418618</wp:posOffset>
            </wp:positionH>
            <wp:positionV relativeFrom="paragraph">
              <wp:posOffset>13733</wp:posOffset>
            </wp:positionV>
            <wp:extent cx="1725930" cy="401320"/>
            <wp:effectExtent l="0" t="0" r="7620" b="0"/>
            <wp:wrapTight wrapText="bothSides">
              <wp:wrapPolygon edited="0">
                <wp:start x="0" y="0"/>
                <wp:lineTo x="0" y="20506"/>
                <wp:lineTo x="21457" y="20506"/>
                <wp:lineTo x="21457" y="0"/>
                <wp:lineTo x="0" y="0"/>
              </wp:wrapPolygon>
            </wp:wrapTight>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1725930" cy="401320"/>
                    </a:xfrm>
                    <a:prstGeom prst="rect">
                      <a:avLst/>
                    </a:prstGeom>
                  </pic:spPr>
                </pic:pic>
              </a:graphicData>
            </a:graphic>
            <wp14:sizeRelH relativeFrom="page">
              <wp14:pctWidth>0</wp14:pctWidth>
            </wp14:sizeRelH>
            <wp14:sizeRelV relativeFrom="page">
              <wp14:pctHeight>0</wp14:pctHeight>
            </wp14:sizeRelV>
          </wp:anchor>
        </w:drawing>
      </w:r>
      <w:r w:rsidR="000F177B">
        <w:rPr>
          <w:noProof/>
        </w:rPr>
        <w:drawing>
          <wp:anchor distT="0" distB="0" distL="114300" distR="114300" simplePos="0" relativeHeight="251658255" behindDoc="1" locked="0" layoutInCell="1" allowOverlap="1" wp14:anchorId="0B64C26C" wp14:editId="6C0DB154">
            <wp:simplePos x="0" y="0"/>
            <wp:positionH relativeFrom="column">
              <wp:posOffset>-95534</wp:posOffset>
            </wp:positionH>
            <wp:positionV relativeFrom="paragraph">
              <wp:posOffset>10984</wp:posOffset>
            </wp:positionV>
            <wp:extent cx="1419367" cy="384546"/>
            <wp:effectExtent l="0" t="0" r="0" b="0"/>
            <wp:wrapTight wrapText="bothSides">
              <wp:wrapPolygon edited="0">
                <wp:start x="0" y="0"/>
                <wp:lineTo x="0" y="20350"/>
                <wp:lineTo x="21165" y="20350"/>
                <wp:lineTo x="211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9367" cy="384546"/>
                    </a:xfrm>
                    <a:prstGeom prst="rect">
                      <a:avLst/>
                    </a:prstGeom>
                    <a:noFill/>
                  </pic:spPr>
                </pic:pic>
              </a:graphicData>
            </a:graphic>
            <wp14:sizeRelH relativeFrom="page">
              <wp14:pctWidth>0</wp14:pctWidth>
            </wp14:sizeRelH>
            <wp14:sizeRelV relativeFrom="page">
              <wp14:pctHeight>0</wp14:pctHeight>
            </wp14:sizeRelV>
          </wp:anchor>
        </w:drawing>
      </w:r>
    </w:p>
    <w:p w14:paraId="77BAE028" w14:textId="2F326098" w:rsidR="00D50246" w:rsidRDefault="00D50246" w:rsidP="00FB1A24">
      <w:pPr>
        <w:pStyle w:val="NoSpacing"/>
      </w:pPr>
    </w:p>
    <w:p w14:paraId="4E9F3AC9" w14:textId="1F1981EA" w:rsidR="00C028F6" w:rsidRDefault="00C028F6" w:rsidP="00FB1A24">
      <w:pPr>
        <w:pStyle w:val="NoSpacing"/>
      </w:pPr>
    </w:p>
    <w:p w14:paraId="44C6361E" w14:textId="3AC309E8" w:rsidR="0076416F" w:rsidRDefault="008261D6" w:rsidP="00FB1A24">
      <w:pPr>
        <w:pStyle w:val="NoSpacing"/>
      </w:pPr>
      <w:r>
        <w:rPr>
          <w:noProof/>
        </w:rPr>
        <w:drawing>
          <wp:anchor distT="0" distB="0" distL="114300" distR="114300" simplePos="0" relativeHeight="251662352" behindDoc="1" locked="0" layoutInCell="1" allowOverlap="1" wp14:anchorId="727BF8FD" wp14:editId="577DA252">
            <wp:simplePos x="0" y="0"/>
            <wp:positionH relativeFrom="column">
              <wp:posOffset>4250690</wp:posOffset>
            </wp:positionH>
            <wp:positionV relativeFrom="paragraph">
              <wp:posOffset>675005</wp:posOffset>
            </wp:positionV>
            <wp:extent cx="764540" cy="789305"/>
            <wp:effectExtent l="0" t="0" r="0" b="0"/>
            <wp:wrapTight wrapText="bothSides">
              <wp:wrapPolygon edited="0">
                <wp:start x="0" y="0"/>
                <wp:lineTo x="0" y="20853"/>
                <wp:lineTo x="20990" y="20853"/>
                <wp:lineTo x="20990" y="0"/>
                <wp:lineTo x="0" y="0"/>
              </wp:wrapPolygon>
            </wp:wrapTight>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64540" cy="789305"/>
                    </a:xfrm>
                    <a:prstGeom prst="rect">
                      <a:avLst/>
                    </a:prstGeom>
                  </pic:spPr>
                </pic:pic>
              </a:graphicData>
            </a:graphic>
            <wp14:sizeRelH relativeFrom="page">
              <wp14:pctWidth>0</wp14:pctWidth>
            </wp14:sizeRelH>
            <wp14:sizeRelV relativeFrom="page">
              <wp14:pctHeight>0</wp14:pctHeight>
            </wp14:sizeRelV>
          </wp:anchor>
        </w:drawing>
      </w:r>
      <w:r w:rsidR="00720653">
        <w:rPr>
          <w:noProof/>
        </w:rPr>
        <w:drawing>
          <wp:anchor distT="0" distB="0" distL="114300" distR="114300" simplePos="0" relativeHeight="251658245" behindDoc="1" locked="0" layoutInCell="1" allowOverlap="1" wp14:anchorId="3000F556" wp14:editId="0AE16F26">
            <wp:simplePos x="0" y="0"/>
            <wp:positionH relativeFrom="column">
              <wp:posOffset>3121660</wp:posOffset>
            </wp:positionH>
            <wp:positionV relativeFrom="paragraph">
              <wp:posOffset>265629</wp:posOffset>
            </wp:positionV>
            <wp:extent cx="2160270" cy="333375"/>
            <wp:effectExtent l="0" t="0" r="0" b="9525"/>
            <wp:wrapTight wrapText="bothSides">
              <wp:wrapPolygon edited="0">
                <wp:start x="0" y="0"/>
                <wp:lineTo x="0" y="20983"/>
                <wp:lineTo x="21333" y="20983"/>
                <wp:lineTo x="21333" y="0"/>
                <wp:lineTo x="0" y="0"/>
              </wp:wrapPolygon>
            </wp:wrapTight>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60270" cy="333375"/>
                    </a:xfrm>
                    <a:prstGeom prst="rect">
                      <a:avLst/>
                    </a:prstGeom>
                  </pic:spPr>
                </pic:pic>
              </a:graphicData>
            </a:graphic>
            <wp14:sizeRelH relativeFrom="page">
              <wp14:pctWidth>0</wp14:pctWidth>
            </wp14:sizeRelH>
            <wp14:sizeRelV relativeFrom="page">
              <wp14:pctHeight>0</wp14:pctHeight>
            </wp14:sizeRelV>
          </wp:anchor>
        </w:drawing>
      </w:r>
      <w:r w:rsidR="00720653">
        <w:rPr>
          <w:noProof/>
        </w:rPr>
        <w:drawing>
          <wp:anchor distT="0" distB="0" distL="114300" distR="114300" simplePos="0" relativeHeight="251658250" behindDoc="1" locked="0" layoutInCell="1" allowOverlap="1" wp14:anchorId="57CA2C37" wp14:editId="7430C8C7">
            <wp:simplePos x="0" y="0"/>
            <wp:positionH relativeFrom="column">
              <wp:posOffset>1815019</wp:posOffset>
            </wp:positionH>
            <wp:positionV relativeFrom="paragraph">
              <wp:posOffset>147907</wp:posOffset>
            </wp:positionV>
            <wp:extent cx="1207770" cy="569595"/>
            <wp:effectExtent l="0" t="0" r="0" b="1905"/>
            <wp:wrapTight wrapText="bothSides">
              <wp:wrapPolygon edited="0">
                <wp:start x="0" y="0"/>
                <wp:lineTo x="0" y="20950"/>
                <wp:lineTo x="21123" y="20950"/>
                <wp:lineTo x="21123"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7770" cy="569595"/>
                    </a:xfrm>
                    <a:prstGeom prst="rect">
                      <a:avLst/>
                    </a:prstGeom>
                  </pic:spPr>
                </pic:pic>
              </a:graphicData>
            </a:graphic>
            <wp14:sizeRelH relativeFrom="page">
              <wp14:pctWidth>0</wp14:pctWidth>
            </wp14:sizeRelH>
            <wp14:sizeRelV relativeFrom="page">
              <wp14:pctHeight>0</wp14:pctHeight>
            </wp14:sizeRelV>
          </wp:anchor>
        </w:drawing>
      </w:r>
      <w:r w:rsidR="00162BAB">
        <w:rPr>
          <w:noProof/>
        </w:rPr>
        <w:drawing>
          <wp:anchor distT="0" distB="0" distL="114300" distR="114300" simplePos="0" relativeHeight="251658247" behindDoc="1" locked="0" layoutInCell="1" allowOverlap="1" wp14:anchorId="6A172ED4" wp14:editId="534549BC">
            <wp:simplePos x="0" y="0"/>
            <wp:positionH relativeFrom="column">
              <wp:posOffset>5561756</wp:posOffset>
            </wp:positionH>
            <wp:positionV relativeFrom="paragraph">
              <wp:posOffset>89402</wp:posOffset>
            </wp:positionV>
            <wp:extent cx="552450" cy="767080"/>
            <wp:effectExtent l="0" t="0" r="0" b="0"/>
            <wp:wrapTight wrapText="bothSides">
              <wp:wrapPolygon edited="0">
                <wp:start x="0" y="0"/>
                <wp:lineTo x="0" y="20921"/>
                <wp:lineTo x="20855" y="20921"/>
                <wp:lineTo x="20855" y="0"/>
                <wp:lineTo x="0" y="0"/>
              </wp:wrapPolygon>
            </wp:wrapTight>
            <wp:docPr id="10" name="Picture 10" descr="A red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ed sign with white text&#10;&#10;Description automatically generated with medium confiden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52450" cy="767080"/>
                    </a:xfrm>
                    <a:prstGeom prst="rect">
                      <a:avLst/>
                    </a:prstGeom>
                  </pic:spPr>
                </pic:pic>
              </a:graphicData>
            </a:graphic>
            <wp14:sizeRelH relativeFrom="page">
              <wp14:pctWidth>0</wp14:pctWidth>
            </wp14:sizeRelH>
            <wp14:sizeRelV relativeFrom="page">
              <wp14:pctHeight>0</wp14:pctHeight>
            </wp14:sizeRelV>
          </wp:anchor>
        </w:drawing>
      </w:r>
      <w:r w:rsidR="00DD229B">
        <w:rPr>
          <w:noProof/>
        </w:rPr>
        <w:drawing>
          <wp:anchor distT="0" distB="0" distL="114300" distR="114300" simplePos="0" relativeHeight="251658243" behindDoc="1" locked="0" layoutInCell="1" allowOverlap="1" wp14:anchorId="59268E49" wp14:editId="48CB0C85">
            <wp:simplePos x="0" y="0"/>
            <wp:positionH relativeFrom="column">
              <wp:posOffset>-184529</wp:posOffset>
            </wp:positionH>
            <wp:positionV relativeFrom="paragraph">
              <wp:posOffset>112783</wp:posOffset>
            </wp:positionV>
            <wp:extent cx="1009650" cy="664210"/>
            <wp:effectExtent l="0" t="0" r="0" b="2540"/>
            <wp:wrapTight wrapText="bothSides">
              <wp:wrapPolygon edited="0">
                <wp:start x="0" y="0"/>
                <wp:lineTo x="0" y="21063"/>
                <wp:lineTo x="21192" y="21063"/>
                <wp:lineTo x="21192"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009650" cy="664210"/>
                    </a:xfrm>
                    <a:prstGeom prst="rect">
                      <a:avLst/>
                    </a:prstGeom>
                  </pic:spPr>
                </pic:pic>
              </a:graphicData>
            </a:graphic>
            <wp14:sizeRelH relativeFrom="page">
              <wp14:pctWidth>0</wp14:pctWidth>
            </wp14:sizeRelH>
            <wp14:sizeRelV relativeFrom="page">
              <wp14:pctHeight>0</wp14:pctHeight>
            </wp14:sizeRelV>
          </wp:anchor>
        </w:drawing>
      </w:r>
    </w:p>
    <w:p w14:paraId="20AE9D3C" w14:textId="7DD806D6" w:rsidR="0076416F" w:rsidRDefault="008261D6" w:rsidP="00FB1A24">
      <w:pPr>
        <w:pStyle w:val="NoSpacing"/>
      </w:pPr>
      <w:r>
        <w:rPr>
          <w:noProof/>
        </w:rPr>
        <w:drawing>
          <wp:anchor distT="0" distB="0" distL="114300" distR="114300" simplePos="0" relativeHeight="251658244" behindDoc="1" locked="0" layoutInCell="1" allowOverlap="1" wp14:anchorId="4A9F640E" wp14:editId="3A85BD59">
            <wp:simplePos x="0" y="0"/>
            <wp:positionH relativeFrom="column">
              <wp:posOffset>1323975</wp:posOffset>
            </wp:positionH>
            <wp:positionV relativeFrom="paragraph">
              <wp:posOffset>768350</wp:posOffset>
            </wp:positionV>
            <wp:extent cx="1215390" cy="431165"/>
            <wp:effectExtent l="0" t="0" r="3810" b="6985"/>
            <wp:wrapTight wrapText="bothSides">
              <wp:wrapPolygon edited="0">
                <wp:start x="0" y="0"/>
                <wp:lineTo x="0" y="20996"/>
                <wp:lineTo x="21329" y="20996"/>
                <wp:lineTo x="21329" y="0"/>
                <wp:lineTo x="0" y="0"/>
              </wp:wrapPolygon>
            </wp:wrapTight>
            <wp:docPr id="6" name="Picture 6"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15390" cy="431165"/>
                    </a:xfrm>
                    <a:prstGeom prst="rect">
                      <a:avLst/>
                    </a:prstGeom>
                  </pic:spPr>
                </pic:pic>
              </a:graphicData>
            </a:graphic>
            <wp14:sizeRelH relativeFrom="page">
              <wp14:pctWidth>0</wp14:pctWidth>
            </wp14:sizeRelH>
            <wp14:sizeRelV relativeFrom="page">
              <wp14:pctHeight>0</wp14:pctHeight>
            </wp14:sizeRelV>
          </wp:anchor>
        </w:drawing>
      </w:r>
      <w:r>
        <w:rPr>
          <w:noProof/>
          <w:u w:val="single"/>
        </w:rPr>
        <w:drawing>
          <wp:anchor distT="0" distB="0" distL="114300" distR="114300" simplePos="0" relativeHeight="251660304" behindDoc="1" locked="0" layoutInCell="1" allowOverlap="1" wp14:anchorId="7108669C" wp14:editId="7C901DC0">
            <wp:simplePos x="0" y="0"/>
            <wp:positionH relativeFrom="column">
              <wp:posOffset>-180975</wp:posOffset>
            </wp:positionH>
            <wp:positionV relativeFrom="paragraph">
              <wp:posOffset>768350</wp:posOffset>
            </wp:positionV>
            <wp:extent cx="1456055" cy="382270"/>
            <wp:effectExtent l="0" t="0" r="0" b="0"/>
            <wp:wrapTight wrapText="bothSides">
              <wp:wrapPolygon edited="0">
                <wp:start x="0" y="0"/>
                <wp:lineTo x="0" y="20452"/>
                <wp:lineTo x="21195" y="20452"/>
                <wp:lineTo x="21195" y="0"/>
                <wp:lineTo x="0" y="0"/>
              </wp:wrapPolygon>
            </wp:wrapTight>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56055" cy="382270"/>
                    </a:xfrm>
                    <a:prstGeom prst="rect">
                      <a:avLst/>
                    </a:prstGeom>
                  </pic:spPr>
                </pic:pic>
              </a:graphicData>
            </a:graphic>
            <wp14:sizeRelH relativeFrom="page">
              <wp14:pctWidth>0</wp14:pctWidth>
            </wp14:sizeRelH>
            <wp14:sizeRelV relativeFrom="page">
              <wp14:pctHeight>0</wp14:pctHeight>
            </wp14:sizeRelV>
          </wp:anchor>
        </w:drawing>
      </w:r>
      <w:r w:rsidR="00162BAB">
        <w:rPr>
          <w:noProof/>
        </w:rPr>
        <w:drawing>
          <wp:anchor distT="0" distB="0" distL="114300" distR="114300" simplePos="0" relativeHeight="251658242" behindDoc="1" locked="0" layoutInCell="1" allowOverlap="1" wp14:anchorId="007F0626" wp14:editId="28B6FC41">
            <wp:simplePos x="0" y="0"/>
            <wp:positionH relativeFrom="column">
              <wp:posOffset>927649</wp:posOffset>
            </wp:positionH>
            <wp:positionV relativeFrom="paragraph">
              <wp:posOffset>27457</wp:posOffset>
            </wp:positionV>
            <wp:extent cx="869315" cy="518795"/>
            <wp:effectExtent l="0" t="0" r="6985" b="0"/>
            <wp:wrapTight wrapText="bothSides">
              <wp:wrapPolygon edited="0">
                <wp:start x="0" y="0"/>
                <wp:lineTo x="0" y="20622"/>
                <wp:lineTo x="21300" y="20622"/>
                <wp:lineTo x="21300" y="0"/>
                <wp:lineTo x="0"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9315" cy="518795"/>
                    </a:xfrm>
                    <a:prstGeom prst="rect">
                      <a:avLst/>
                    </a:prstGeom>
                  </pic:spPr>
                </pic:pic>
              </a:graphicData>
            </a:graphic>
            <wp14:sizeRelH relativeFrom="page">
              <wp14:pctWidth>0</wp14:pctWidth>
            </wp14:sizeRelH>
            <wp14:sizeRelV relativeFrom="page">
              <wp14:pctHeight>0</wp14:pctHeight>
            </wp14:sizeRelV>
          </wp:anchor>
        </w:drawing>
      </w:r>
    </w:p>
    <w:p w14:paraId="22E03108" w14:textId="6840CB74" w:rsidR="00C028F6" w:rsidRDefault="008261D6" w:rsidP="00FB1A24">
      <w:pPr>
        <w:pStyle w:val="NoSpacing"/>
      </w:pPr>
      <w:r w:rsidRPr="002E5746">
        <w:rPr>
          <w:noProof/>
        </w:rPr>
        <w:drawing>
          <wp:anchor distT="0" distB="0" distL="114300" distR="114300" simplePos="0" relativeHeight="251658249" behindDoc="1" locked="0" layoutInCell="1" allowOverlap="1" wp14:anchorId="2670B89F" wp14:editId="0ACB0CF1">
            <wp:simplePos x="0" y="0"/>
            <wp:positionH relativeFrom="column">
              <wp:posOffset>5111115</wp:posOffset>
            </wp:positionH>
            <wp:positionV relativeFrom="paragraph">
              <wp:posOffset>8890</wp:posOffset>
            </wp:positionV>
            <wp:extent cx="1390650" cy="601345"/>
            <wp:effectExtent l="0" t="0" r="0" b="8255"/>
            <wp:wrapTight wrapText="bothSides">
              <wp:wrapPolygon edited="0">
                <wp:start x="0" y="0"/>
                <wp:lineTo x="0" y="21212"/>
                <wp:lineTo x="21304" y="21212"/>
                <wp:lineTo x="21304" y="0"/>
                <wp:lineTo x="0" y="0"/>
              </wp:wrapPolygon>
            </wp:wrapTight>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390650" cy="6013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0" layoutInCell="1" allowOverlap="1" wp14:anchorId="10907B37" wp14:editId="0F1201D2">
            <wp:simplePos x="0" y="0"/>
            <wp:positionH relativeFrom="column">
              <wp:posOffset>2690495</wp:posOffset>
            </wp:positionH>
            <wp:positionV relativeFrom="paragraph">
              <wp:posOffset>40005</wp:posOffset>
            </wp:positionV>
            <wp:extent cx="1545590" cy="475615"/>
            <wp:effectExtent l="0" t="0" r="0" b="635"/>
            <wp:wrapTight wrapText="bothSides">
              <wp:wrapPolygon edited="0">
                <wp:start x="0" y="0"/>
                <wp:lineTo x="0" y="20764"/>
                <wp:lineTo x="21298" y="20764"/>
                <wp:lineTo x="21298" y="0"/>
                <wp:lineTo x="0" y="0"/>
              </wp:wrapPolygon>
            </wp:wrapTight>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1545590" cy="475615"/>
                    </a:xfrm>
                    <a:prstGeom prst="rect">
                      <a:avLst/>
                    </a:prstGeom>
                  </pic:spPr>
                </pic:pic>
              </a:graphicData>
            </a:graphic>
            <wp14:sizeRelH relativeFrom="page">
              <wp14:pctWidth>0</wp14:pctWidth>
            </wp14:sizeRelH>
            <wp14:sizeRelV relativeFrom="page">
              <wp14:pctHeight>0</wp14:pctHeight>
            </wp14:sizeRelV>
          </wp:anchor>
        </w:drawing>
      </w:r>
      <w:r w:rsidR="00213986">
        <w:t xml:space="preserve">    </w:t>
      </w:r>
    </w:p>
    <w:p w14:paraId="034A66FB" w14:textId="4DE4EB89" w:rsidR="00363A6D" w:rsidRDefault="00E5731F" w:rsidP="00FB1A24">
      <w:pPr>
        <w:pStyle w:val="NoSpacing"/>
      </w:pPr>
      <w:r>
        <w:t xml:space="preserve">    </w:t>
      </w:r>
    </w:p>
    <w:p w14:paraId="104FC108" w14:textId="27747B8E" w:rsidR="008261D6" w:rsidRDefault="008261D6" w:rsidP="00FB1A24">
      <w:pPr>
        <w:pStyle w:val="NoSpacing"/>
      </w:pPr>
    </w:p>
    <w:p w14:paraId="0389F2CE" w14:textId="77777777" w:rsidR="00D50246" w:rsidRDefault="00D50246" w:rsidP="00FB1A24">
      <w:pPr>
        <w:pStyle w:val="NoSpacing"/>
      </w:pPr>
    </w:p>
    <w:p w14:paraId="3F61843B" w14:textId="77777777" w:rsidR="003D62EA" w:rsidRDefault="003D62EA" w:rsidP="00FB1A24">
      <w:pPr>
        <w:pStyle w:val="NoSpacing"/>
      </w:pPr>
    </w:p>
    <w:p w14:paraId="005CE26B" w14:textId="7F1C6B4B" w:rsidR="00870C0A" w:rsidRPr="003D62EA" w:rsidRDefault="00870C0A" w:rsidP="003D62EA">
      <w:pPr>
        <w:pStyle w:val="NoSpacing"/>
        <w:jc w:val="center"/>
        <w:rPr>
          <w:b/>
          <w:bCs/>
          <w:sz w:val="32"/>
          <w:szCs w:val="32"/>
        </w:rPr>
      </w:pPr>
      <w:r w:rsidRPr="003D62EA">
        <w:rPr>
          <w:b/>
          <w:bCs/>
          <w:sz w:val="32"/>
          <w:szCs w:val="32"/>
        </w:rPr>
        <w:t>ASSEMBLY BILL 1213 (</w:t>
      </w:r>
      <w:r w:rsidR="003D62EA" w:rsidRPr="003D62EA">
        <w:rPr>
          <w:b/>
          <w:bCs/>
          <w:sz w:val="32"/>
          <w:szCs w:val="32"/>
        </w:rPr>
        <w:t>Ortega)</w:t>
      </w:r>
    </w:p>
    <w:p w14:paraId="0D6A2EBA" w14:textId="58080C51" w:rsidR="003D62EA" w:rsidRPr="003D62EA" w:rsidRDefault="003D62EA" w:rsidP="003D62EA">
      <w:pPr>
        <w:pStyle w:val="NoSpacing"/>
        <w:jc w:val="center"/>
        <w:rPr>
          <w:rFonts w:ascii="Arial" w:hAnsi="Arial" w:cs="Arial"/>
          <w:b/>
          <w:bCs/>
          <w:caps/>
          <w:color w:val="000000"/>
          <w:sz w:val="28"/>
          <w:szCs w:val="28"/>
          <w:shd w:val="clear" w:color="auto" w:fill="FBFAF7"/>
        </w:rPr>
      </w:pPr>
      <w:r w:rsidRPr="003D62EA">
        <w:rPr>
          <w:rFonts w:ascii="Arial" w:hAnsi="Arial" w:cs="Arial"/>
          <w:b/>
          <w:bCs/>
          <w:caps/>
          <w:color w:val="000000"/>
          <w:sz w:val="28"/>
          <w:szCs w:val="28"/>
          <w:shd w:val="clear" w:color="auto" w:fill="FBFAF7"/>
        </w:rPr>
        <w:t>Workers’ compensation: aggregate disability payments</w:t>
      </w:r>
    </w:p>
    <w:p w14:paraId="3B1F4599" w14:textId="77777777" w:rsidR="003D62EA" w:rsidRPr="003D62EA" w:rsidRDefault="003D62EA" w:rsidP="003D62EA">
      <w:pPr>
        <w:pStyle w:val="NoSpacing"/>
        <w:jc w:val="center"/>
        <w:rPr>
          <w:rFonts w:ascii="Arial" w:hAnsi="Arial" w:cs="Arial"/>
          <w:b/>
          <w:bCs/>
          <w:color w:val="000000"/>
          <w:sz w:val="32"/>
          <w:szCs w:val="32"/>
          <w:shd w:val="clear" w:color="auto" w:fill="FBFAF7"/>
        </w:rPr>
      </w:pPr>
    </w:p>
    <w:p w14:paraId="6EE938D3" w14:textId="70A0DA09" w:rsidR="003D62EA" w:rsidRDefault="003D62EA" w:rsidP="003D62EA">
      <w:pPr>
        <w:pStyle w:val="NoSpacing"/>
        <w:jc w:val="center"/>
        <w:rPr>
          <w:rFonts w:ascii="Arial" w:hAnsi="Arial" w:cs="Arial"/>
          <w:b/>
          <w:bCs/>
          <w:color w:val="000000"/>
          <w:sz w:val="32"/>
          <w:szCs w:val="32"/>
          <w:shd w:val="clear" w:color="auto" w:fill="FBFAF7"/>
        </w:rPr>
      </w:pPr>
      <w:r w:rsidRPr="003D62EA">
        <w:rPr>
          <w:rFonts w:ascii="Arial" w:hAnsi="Arial" w:cs="Arial"/>
          <w:b/>
          <w:bCs/>
          <w:color w:val="000000"/>
          <w:sz w:val="32"/>
          <w:szCs w:val="32"/>
          <w:shd w:val="clear" w:color="auto" w:fill="FBFAF7"/>
        </w:rPr>
        <w:t>FLOOR ALERT – ITEM #</w:t>
      </w:r>
      <w:r w:rsidR="005426AB">
        <w:rPr>
          <w:rFonts w:ascii="Arial" w:hAnsi="Arial" w:cs="Arial"/>
          <w:b/>
          <w:bCs/>
          <w:color w:val="000000"/>
          <w:sz w:val="32"/>
          <w:szCs w:val="32"/>
          <w:shd w:val="clear" w:color="auto" w:fill="FBFAF7"/>
        </w:rPr>
        <w:t>39</w:t>
      </w:r>
    </w:p>
    <w:p w14:paraId="62674518" w14:textId="77777777" w:rsidR="005426AB" w:rsidRDefault="005426AB" w:rsidP="003D62EA">
      <w:pPr>
        <w:pStyle w:val="NoSpacing"/>
        <w:jc w:val="center"/>
        <w:rPr>
          <w:rFonts w:ascii="Arial" w:hAnsi="Arial" w:cs="Arial"/>
          <w:b/>
          <w:bCs/>
          <w:color w:val="000000"/>
          <w:sz w:val="32"/>
          <w:szCs w:val="32"/>
          <w:shd w:val="clear" w:color="auto" w:fill="FBFAF7"/>
        </w:rPr>
      </w:pPr>
    </w:p>
    <w:p w14:paraId="2F9F0403" w14:textId="6076E314" w:rsidR="00870C0A" w:rsidRDefault="005426AB" w:rsidP="005426AB">
      <w:pPr>
        <w:pStyle w:val="NoSpacing"/>
        <w:jc w:val="center"/>
      </w:pPr>
      <w:r>
        <w:rPr>
          <w:rFonts w:ascii="Arial" w:hAnsi="Arial" w:cs="Arial"/>
          <w:b/>
          <w:bCs/>
          <w:color w:val="000000"/>
          <w:sz w:val="32"/>
          <w:szCs w:val="32"/>
          <w:shd w:val="clear" w:color="auto" w:fill="FBFAF7"/>
        </w:rPr>
        <w:t>OPPOSE</w:t>
      </w:r>
    </w:p>
    <w:p w14:paraId="29FEA17D" w14:textId="77777777" w:rsidR="00870C0A" w:rsidRPr="0070783F" w:rsidRDefault="00870C0A" w:rsidP="00FB1A24">
      <w:pPr>
        <w:pStyle w:val="NoSpacing"/>
      </w:pPr>
    </w:p>
    <w:p w14:paraId="1C0233FE" w14:textId="26CD2548" w:rsidR="00E34AE2" w:rsidRPr="0070783F" w:rsidRDefault="00775555" w:rsidP="00FB1A24">
      <w:pPr>
        <w:pStyle w:val="NoSpacing"/>
        <w:rPr>
          <w:rFonts w:ascii="Calibri" w:hAnsi="Calibri"/>
        </w:rPr>
      </w:pPr>
      <w:r>
        <w:rPr>
          <w:rFonts w:ascii="Calibri" w:hAnsi="Calibri"/>
        </w:rPr>
        <w:t>The organizations listed above must respectfully oppose AB 12</w:t>
      </w:r>
      <w:r w:rsidR="00D50246">
        <w:rPr>
          <w:rFonts w:ascii="Calibri" w:hAnsi="Calibri"/>
        </w:rPr>
        <w:t>13</w:t>
      </w:r>
      <w:r>
        <w:rPr>
          <w:rFonts w:ascii="Calibri" w:hAnsi="Calibri"/>
        </w:rPr>
        <w:t xml:space="preserve">, </w:t>
      </w:r>
      <w:r w:rsidR="00FB1A24" w:rsidRPr="0070783F">
        <w:rPr>
          <w:rFonts w:ascii="Calibri" w:hAnsi="Calibri"/>
        </w:rPr>
        <w:t xml:space="preserve">which </w:t>
      </w:r>
      <w:r w:rsidR="00576131">
        <w:rPr>
          <w:rFonts w:ascii="Calibri" w:hAnsi="Calibri"/>
        </w:rPr>
        <w:t xml:space="preserve">further </w:t>
      </w:r>
      <w:r w:rsidR="00FB1A24" w:rsidRPr="0070783F">
        <w:rPr>
          <w:rFonts w:ascii="Calibri" w:hAnsi="Calibri"/>
        </w:rPr>
        <w:t>complicate</w:t>
      </w:r>
      <w:r w:rsidR="00D50246">
        <w:rPr>
          <w:rFonts w:ascii="Calibri" w:hAnsi="Calibri"/>
        </w:rPr>
        <w:t>s</w:t>
      </w:r>
      <w:r w:rsidR="00FB1A24" w:rsidRPr="0070783F">
        <w:rPr>
          <w:rFonts w:ascii="Calibri" w:hAnsi="Calibri"/>
        </w:rPr>
        <w:t xml:space="preserve"> </w:t>
      </w:r>
      <w:r w:rsidR="00D50246">
        <w:rPr>
          <w:rFonts w:ascii="Calibri" w:hAnsi="Calibri"/>
        </w:rPr>
        <w:t xml:space="preserve">an already </w:t>
      </w:r>
      <w:r w:rsidR="00576131">
        <w:rPr>
          <w:rFonts w:ascii="Calibri" w:hAnsi="Calibri"/>
        </w:rPr>
        <w:t>onerous</w:t>
      </w:r>
      <w:r w:rsidR="00FB1A24" w:rsidRPr="0070783F">
        <w:rPr>
          <w:rFonts w:ascii="Calibri" w:hAnsi="Calibri"/>
        </w:rPr>
        <w:t xml:space="preserve"> claims-handling process</w:t>
      </w:r>
      <w:r w:rsidR="00D50246">
        <w:rPr>
          <w:rFonts w:ascii="Calibri" w:hAnsi="Calibri"/>
        </w:rPr>
        <w:t xml:space="preserve"> and</w:t>
      </w:r>
      <w:r w:rsidR="00FB1A24" w:rsidRPr="0070783F">
        <w:rPr>
          <w:rFonts w:ascii="Calibri" w:hAnsi="Calibri"/>
        </w:rPr>
        <w:t xml:space="preserve"> create</w:t>
      </w:r>
      <w:r w:rsidR="00D50246">
        <w:rPr>
          <w:rFonts w:ascii="Calibri" w:hAnsi="Calibri"/>
        </w:rPr>
        <w:t>s</w:t>
      </w:r>
      <w:r w:rsidR="00FB1A24" w:rsidRPr="0070783F">
        <w:rPr>
          <w:rFonts w:ascii="Calibri" w:hAnsi="Calibri"/>
        </w:rPr>
        <w:t xml:space="preserve"> a disincentive </w:t>
      </w:r>
      <w:r w:rsidR="002C166E">
        <w:rPr>
          <w:rFonts w:ascii="Calibri" w:hAnsi="Calibri"/>
        </w:rPr>
        <w:t xml:space="preserve">for medical providers </w:t>
      </w:r>
      <w:r w:rsidR="00FB1A24" w:rsidRPr="0070783F">
        <w:rPr>
          <w:rFonts w:ascii="Calibri" w:hAnsi="Calibri"/>
        </w:rPr>
        <w:t xml:space="preserve">to </w:t>
      </w:r>
      <w:r w:rsidR="002F4983">
        <w:rPr>
          <w:rFonts w:ascii="Calibri" w:hAnsi="Calibri"/>
        </w:rPr>
        <w:t>comply with</w:t>
      </w:r>
      <w:r w:rsidR="002F4983" w:rsidRPr="0070783F">
        <w:rPr>
          <w:rFonts w:ascii="Calibri" w:hAnsi="Calibri"/>
        </w:rPr>
        <w:t xml:space="preserve"> </w:t>
      </w:r>
      <w:r>
        <w:rPr>
          <w:rFonts w:ascii="Calibri" w:hAnsi="Calibri"/>
        </w:rPr>
        <w:t>medical standards prescribed</w:t>
      </w:r>
      <w:r w:rsidR="00FB1A24" w:rsidRPr="0070783F">
        <w:rPr>
          <w:rFonts w:ascii="Calibri" w:hAnsi="Calibri"/>
        </w:rPr>
        <w:t xml:space="preserve"> by the State of California</w:t>
      </w:r>
      <w:r w:rsidR="00D50246">
        <w:rPr>
          <w:rFonts w:ascii="Calibri" w:hAnsi="Calibri"/>
        </w:rPr>
        <w:t>.</w:t>
      </w:r>
      <w:r w:rsidR="001359A4">
        <w:rPr>
          <w:rFonts w:ascii="Calibri" w:hAnsi="Calibri"/>
        </w:rPr>
        <w:t xml:space="preserve"> </w:t>
      </w:r>
      <w:r w:rsidR="002F4983">
        <w:rPr>
          <w:rFonts w:ascii="Calibri" w:hAnsi="Calibri"/>
        </w:rPr>
        <w:t xml:space="preserve">While we share the objective to reduce </w:t>
      </w:r>
      <w:r w:rsidR="001359A4">
        <w:rPr>
          <w:rFonts w:ascii="Calibri" w:hAnsi="Calibri"/>
        </w:rPr>
        <w:t xml:space="preserve">delays </w:t>
      </w:r>
      <w:r w:rsidR="00E816B3">
        <w:rPr>
          <w:rFonts w:ascii="Calibri" w:hAnsi="Calibri"/>
        </w:rPr>
        <w:t>in</w:t>
      </w:r>
      <w:r w:rsidR="001359A4">
        <w:rPr>
          <w:rFonts w:ascii="Calibri" w:hAnsi="Calibri"/>
        </w:rPr>
        <w:t xml:space="preserve"> the medical treatment authorization </w:t>
      </w:r>
      <w:r w:rsidR="000330E5">
        <w:rPr>
          <w:rFonts w:ascii="Calibri" w:hAnsi="Calibri"/>
        </w:rPr>
        <w:t>process,</w:t>
      </w:r>
      <w:r w:rsidR="001359A4">
        <w:rPr>
          <w:rFonts w:ascii="Calibri" w:hAnsi="Calibri"/>
        </w:rPr>
        <w:t xml:space="preserve"> the</w:t>
      </w:r>
      <w:r w:rsidR="002F4983">
        <w:rPr>
          <w:rFonts w:ascii="Calibri" w:hAnsi="Calibri"/>
        </w:rPr>
        <w:t xml:space="preserve"> bill as drafted, </w:t>
      </w:r>
      <w:r w:rsidR="00E816B3">
        <w:rPr>
          <w:rFonts w:ascii="Calibri" w:hAnsi="Calibri"/>
        </w:rPr>
        <w:t>is aimed in the wrong direction</w:t>
      </w:r>
      <w:r w:rsidR="00193A4A">
        <w:rPr>
          <w:rFonts w:ascii="Calibri" w:hAnsi="Calibri"/>
        </w:rPr>
        <w:t xml:space="preserve">. </w:t>
      </w:r>
      <w:r w:rsidR="00193A4A" w:rsidRPr="008A1716">
        <w:rPr>
          <w:rFonts w:ascii="Calibri" w:hAnsi="Calibri"/>
          <w:b/>
          <w:bCs/>
          <w:i/>
          <w:iCs/>
        </w:rPr>
        <w:t>In the most recent data that is available from the state, only 7.2% of UR decisions that were challenged and sent to IMR were overturned. That means that</w:t>
      </w:r>
      <w:r w:rsidR="008A1716" w:rsidRPr="008A1716">
        <w:rPr>
          <w:rFonts w:ascii="Calibri" w:hAnsi="Calibri"/>
          <w:b/>
          <w:bCs/>
          <w:i/>
          <w:iCs/>
        </w:rPr>
        <w:t xml:space="preserve"> disputed</w:t>
      </w:r>
      <w:r w:rsidR="00193A4A" w:rsidRPr="008A1716">
        <w:rPr>
          <w:rFonts w:ascii="Calibri" w:hAnsi="Calibri"/>
          <w:b/>
          <w:bCs/>
          <w:i/>
          <w:iCs/>
        </w:rPr>
        <w:t xml:space="preserve"> UR </w:t>
      </w:r>
      <w:r w:rsidR="008A1716" w:rsidRPr="008A1716">
        <w:rPr>
          <w:rFonts w:ascii="Calibri" w:hAnsi="Calibri"/>
          <w:b/>
          <w:bCs/>
          <w:i/>
          <w:iCs/>
        </w:rPr>
        <w:t>decisions</w:t>
      </w:r>
      <w:r w:rsidR="00193A4A" w:rsidRPr="008A1716">
        <w:rPr>
          <w:rFonts w:ascii="Calibri" w:hAnsi="Calibri"/>
          <w:b/>
          <w:bCs/>
          <w:i/>
          <w:iCs/>
        </w:rPr>
        <w:t xml:space="preserve"> are correct 92.8% of the time.</w:t>
      </w:r>
      <w:r w:rsidR="00193A4A">
        <w:rPr>
          <w:rFonts w:ascii="Calibri" w:hAnsi="Calibri"/>
        </w:rPr>
        <w:t xml:space="preserve"> </w:t>
      </w:r>
      <w:r w:rsidR="002F4983">
        <w:rPr>
          <w:rFonts w:ascii="Calibri" w:hAnsi="Calibri"/>
        </w:rPr>
        <w:t>The actual</w:t>
      </w:r>
      <w:r w:rsidR="00193A4A">
        <w:rPr>
          <w:rFonts w:ascii="Calibri" w:hAnsi="Calibri"/>
        </w:rPr>
        <w:t xml:space="preserve"> delay in the system related to care comes from the overuse of IMR by </w:t>
      </w:r>
      <w:r w:rsidR="002C166E">
        <w:rPr>
          <w:rFonts w:ascii="Calibri" w:hAnsi="Calibri"/>
        </w:rPr>
        <w:t xml:space="preserve">a small number of </w:t>
      </w:r>
      <w:r w:rsidR="00193A4A">
        <w:rPr>
          <w:rFonts w:ascii="Calibri" w:hAnsi="Calibri"/>
        </w:rPr>
        <w:t>attorneys and physicians trying to push care that is conflicting with the state-established guidelines</w:t>
      </w:r>
      <w:r w:rsidR="002C166E">
        <w:rPr>
          <w:rFonts w:ascii="Calibri" w:hAnsi="Calibri"/>
        </w:rPr>
        <w:t xml:space="preserve"> for determining medical necessity</w:t>
      </w:r>
      <w:r w:rsidR="00193A4A">
        <w:rPr>
          <w:rFonts w:ascii="Calibri" w:hAnsi="Calibri"/>
        </w:rPr>
        <w:t xml:space="preserve">. </w:t>
      </w:r>
    </w:p>
    <w:p w14:paraId="01ED0B91" w14:textId="77777777" w:rsidR="00D50246" w:rsidRPr="0070783F" w:rsidRDefault="00D50246" w:rsidP="00FB1A24">
      <w:pPr>
        <w:pStyle w:val="NoSpacing"/>
        <w:rPr>
          <w:rFonts w:ascii="Calibri" w:hAnsi="Calibri"/>
        </w:rPr>
      </w:pPr>
    </w:p>
    <w:p w14:paraId="3473E54E" w14:textId="77777777" w:rsidR="004047DB" w:rsidRPr="0070783F" w:rsidRDefault="004047DB" w:rsidP="4380A1F5">
      <w:pPr>
        <w:pStyle w:val="NoSpacing"/>
        <w:rPr>
          <w:rFonts w:ascii="Calibri" w:hAnsi="Calibri"/>
          <w:b/>
          <w:bCs/>
          <w:u w:val="single"/>
        </w:rPr>
      </w:pPr>
      <w:bookmarkStart w:id="0" w:name="_Hlk129604708"/>
      <w:r w:rsidRPr="4380A1F5">
        <w:rPr>
          <w:rFonts w:ascii="Calibri" w:hAnsi="Calibri"/>
          <w:b/>
          <w:bCs/>
          <w:u w:val="single"/>
        </w:rPr>
        <w:t>H</w:t>
      </w:r>
      <w:r w:rsidR="00382769" w:rsidRPr="4380A1F5">
        <w:rPr>
          <w:rFonts w:ascii="Calibri" w:hAnsi="Calibri"/>
          <w:b/>
          <w:bCs/>
          <w:u w:val="single"/>
        </w:rPr>
        <w:t>OW MEDICAL TREATMENT DISPUTES GET RESOLVED</w:t>
      </w:r>
    </w:p>
    <w:p w14:paraId="5D30AF8F" w14:textId="1F8F7EA1" w:rsidR="004047DB" w:rsidRPr="0070783F" w:rsidRDefault="006A5DEF" w:rsidP="00FB1A24">
      <w:pPr>
        <w:pStyle w:val="NoSpacing"/>
        <w:rPr>
          <w:rFonts w:ascii="Calibri" w:hAnsi="Calibri"/>
        </w:rPr>
      </w:pPr>
      <w:r w:rsidRPr="4C61B943">
        <w:rPr>
          <w:rFonts w:ascii="Calibri" w:hAnsi="Calibri"/>
        </w:rPr>
        <w:t>When a medical provider</w:t>
      </w:r>
      <w:r w:rsidR="00193A4A" w:rsidRPr="4C61B943">
        <w:rPr>
          <w:rFonts w:ascii="Calibri" w:hAnsi="Calibri"/>
        </w:rPr>
        <w:t xml:space="preserve"> </w:t>
      </w:r>
      <w:r w:rsidR="008A1716" w:rsidRPr="4C61B943">
        <w:rPr>
          <w:rFonts w:ascii="Calibri" w:hAnsi="Calibri"/>
        </w:rPr>
        <w:t xml:space="preserve">requests </w:t>
      </w:r>
      <w:r w:rsidR="00193A4A" w:rsidRPr="4C61B943">
        <w:rPr>
          <w:rFonts w:ascii="Calibri" w:hAnsi="Calibri"/>
        </w:rPr>
        <w:t xml:space="preserve">treatment </w:t>
      </w:r>
      <w:r w:rsidRPr="4C61B943">
        <w:rPr>
          <w:rFonts w:ascii="Calibri" w:hAnsi="Calibri"/>
        </w:rPr>
        <w:t>for an injured worker</w:t>
      </w:r>
      <w:r w:rsidR="00193A4A" w:rsidRPr="4C61B943">
        <w:rPr>
          <w:rFonts w:ascii="Calibri" w:hAnsi="Calibri"/>
        </w:rPr>
        <w:t xml:space="preserve">, that treatment must be authorized </w:t>
      </w:r>
      <w:r w:rsidR="008A1716" w:rsidRPr="4C61B943">
        <w:rPr>
          <w:rFonts w:ascii="Calibri" w:hAnsi="Calibri"/>
        </w:rPr>
        <w:t>by the claims administrator before it is provided</w:t>
      </w:r>
      <w:r w:rsidR="00193A4A" w:rsidRPr="4C61B943">
        <w:rPr>
          <w:rFonts w:ascii="Calibri" w:hAnsi="Calibri"/>
        </w:rPr>
        <w:t xml:space="preserve">. </w:t>
      </w:r>
      <w:bookmarkStart w:id="1" w:name="_Hlk130049459"/>
      <w:r w:rsidR="32DF6A4F" w:rsidRPr="4C61B943">
        <w:rPr>
          <w:rFonts w:ascii="Calibri" w:hAnsi="Calibri"/>
        </w:rPr>
        <w:t xml:space="preserve">The vast majority of requested medical treatment is immediately approved, but some </w:t>
      </w:r>
      <w:r w:rsidR="02839A26" w:rsidRPr="4C61B943">
        <w:rPr>
          <w:rFonts w:ascii="Calibri" w:hAnsi="Calibri"/>
        </w:rPr>
        <w:t>are</w:t>
      </w:r>
      <w:r w:rsidR="32DF6A4F" w:rsidRPr="4C61B943">
        <w:rPr>
          <w:rFonts w:ascii="Calibri" w:hAnsi="Calibri"/>
        </w:rPr>
        <w:t xml:space="preserve"> </w:t>
      </w:r>
      <w:r w:rsidR="006978CE" w:rsidRPr="4C61B943">
        <w:rPr>
          <w:rFonts w:ascii="Calibri" w:hAnsi="Calibri"/>
        </w:rPr>
        <w:t>reviewed</w:t>
      </w:r>
      <w:r w:rsidRPr="4C61B943">
        <w:rPr>
          <w:rFonts w:ascii="Calibri" w:hAnsi="Calibri"/>
        </w:rPr>
        <w:t xml:space="preserve"> to determine whether the request</w:t>
      </w:r>
      <w:r w:rsidR="7E3B47DD" w:rsidRPr="4C61B943">
        <w:rPr>
          <w:rFonts w:ascii="Calibri" w:hAnsi="Calibri"/>
        </w:rPr>
        <w:t xml:space="preserve"> </w:t>
      </w:r>
      <w:r w:rsidRPr="4C61B943">
        <w:rPr>
          <w:rFonts w:ascii="Calibri" w:hAnsi="Calibri"/>
        </w:rPr>
        <w:t xml:space="preserve">adheres to state medical treatment guidelines that have been established by the legislature and state regulators. </w:t>
      </w:r>
      <w:bookmarkEnd w:id="0"/>
      <w:bookmarkEnd w:id="1"/>
      <w:r w:rsidRPr="4C61B943">
        <w:rPr>
          <w:rFonts w:ascii="Calibri" w:hAnsi="Calibri"/>
        </w:rPr>
        <w:t xml:space="preserve">This Utilization Review (UR) takes place in a tightly regulated environment, and the UR provider is subject to audit and penalty for failure to adhere to the myriad rules and regulations. If an injured worker disputes the results of the UR process, then the worker, their attorney, or </w:t>
      </w:r>
      <w:r w:rsidR="007256A2" w:rsidRPr="4C61B943">
        <w:rPr>
          <w:rFonts w:ascii="Calibri" w:hAnsi="Calibri"/>
        </w:rPr>
        <w:t>their</w:t>
      </w:r>
      <w:r w:rsidRPr="4C61B943">
        <w:rPr>
          <w:rFonts w:ascii="Calibri" w:hAnsi="Calibri"/>
        </w:rPr>
        <w:t xml:space="preserve"> physician can trigger the Independent Medical Review (IMR) process.</w:t>
      </w:r>
    </w:p>
    <w:p w14:paraId="2FCBF311" w14:textId="5CEE4005" w:rsidR="004047DB" w:rsidRDefault="004047DB" w:rsidP="00FB1A24">
      <w:pPr>
        <w:pStyle w:val="NoSpacing"/>
        <w:rPr>
          <w:rFonts w:ascii="Calibri" w:hAnsi="Calibri"/>
        </w:rPr>
      </w:pPr>
    </w:p>
    <w:p w14:paraId="3B1AFAD9" w14:textId="1F0EDF62" w:rsidR="00102B88" w:rsidRDefault="00565010" w:rsidP="00FB1A24">
      <w:pPr>
        <w:pStyle w:val="NoSpacing"/>
        <w:rPr>
          <w:rFonts w:ascii="Calibri" w:hAnsi="Calibri"/>
        </w:rPr>
      </w:pPr>
      <w:r>
        <w:rPr>
          <w:rFonts w:ascii="Calibri" w:hAnsi="Calibri"/>
        </w:rPr>
        <w:lastRenderedPageBreak/>
        <w:t xml:space="preserve">Below is a brief description of both the Utilization Review (UR) and Independent Medical Review (IMR) processes: </w:t>
      </w:r>
    </w:p>
    <w:p w14:paraId="10CBB759" w14:textId="77777777" w:rsidR="00102B88" w:rsidRPr="0070783F" w:rsidRDefault="00102B88" w:rsidP="00FB1A24">
      <w:pPr>
        <w:pStyle w:val="NoSpacing"/>
        <w:rPr>
          <w:rFonts w:ascii="Calibri" w:hAnsi="Calibri"/>
        </w:rPr>
      </w:pPr>
    </w:p>
    <w:p w14:paraId="3E389F27" w14:textId="77777777" w:rsidR="00382769" w:rsidRPr="00102B88" w:rsidRDefault="00382769" w:rsidP="00382769">
      <w:pPr>
        <w:pStyle w:val="NoSpacing"/>
        <w:numPr>
          <w:ilvl w:val="0"/>
          <w:numId w:val="1"/>
        </w:numPr>
        <w:rPr>
          <w:rFonts w:ascii="Calibri" w:hAnsi="Calibri"/>
          <w:i/>
        </w:rPr>
      </w:pPr>
      <w:r w:rsidRPr="00102B88">
        <w:rPr>
          <w:rFonts w:ascii="Calibri" w:hAnsi="Calibri"/>
          <w:i/>
        </w:rPr>
        <w:t>Utilization Review</w:t>
      </w:r>
    </w:p>
    <w:p w14:paraId="1D3E7C0D" w14:textId="0F4B08B0" w:rsidR="00C90086" w:rsidRPr="0070783F" w:rsidRDefault="002C166E" w:rsidP="00382769">
      <w:pPr>
        <w:pStyle w:val="NoSpacing"/>
        <w:ind w:left="1080"/>
        <w:rPr>
          <w:rFonts w:ascii="Calibri" w:hAnsi="Calibri"/>
        </w:rPr>
      </w:pPr>
      <w:r w:rsidRPr="4C61B943">
        <w:rPr>
          <w:rFonts w:ascii="Calibri" w:hAnsi="Calibri"/>
        </w:rPr>
        <w:t>In compliance with the California Labor Code,</w:t>
      </w:r>
      <w:r w:rsidR="00A612FA" w:rsidRPr="4C61B943">
        <w:rPr>
          <w:rFonts w:ascii="Calibri" w:hAnsi="Calibri"/>
        </w:rPr>
        <w:t xml:space="preserve"> all employers or their claims administrators are required to have a UR program.</w:t>
      </w:r>
      <w:r w:rsidRPr="4C61B943">
        <w:rPr>
          <w:rFonts w:ascii="Calibri" w:hAnsi="Calibri"/>
        </w:rPr>
        <w:t xml:space="preserve"> </w:t>
      </w:r>
      <w:r w:rsidR="00A612FA" w:rsidRPr="4C61B943">
        <w:rPr>
          <w:rFonts w:ascii="Calibri" w:hAnsi="Calibri"/>
        </w:rPr>
        <w:t>W</w:t>
      </w:r>
      <w:r w:rsidR="004047DB" w:rsidRPr="4C61B943">
        <w:rPr>
          <w:rFonts w:ascii="Calibri" w:hAnsi="Calibri"/>
        </w:rPr>
        <w:t>hen a claims administrator receives a medical tr</w:t>
      </w:r>
      <w:r w:rsidR="00382769" w:rsidRPr="4C61B943">
        <w:rPr>
          <w:rFonts w:ascii="Calibri" w:hAnsi="Calibri"/>
        </w:rPr>
        <w:t>eatment request</w:t>
      </w:r>
      <w:r w:rsidR="004047DB" w:rsidRPr="4C61B943">
        <w:rPr>
          <w:rFonts w:ascii="Calibri" w:hAnsi="Calibri"/>
        </w:rPr>
        <w:t xml:space="preserve"> (known as a Request for Authorization, or RFA)</w:t>
      </w:r>
      <w:r w:rsidR="00382769" w:rsidRPr="4C61B943">
        <w:rPr>
          <w:rFonts w:ascii="Calibri" w:hAnsi="Calibri"/>
        </w:rPr>
        <w:t xml:space="preserve"> from a physician, they</w:t>
      </w:r>
      <w:r w:rsidR="00A612FA" w:rsidRPr="4C61B943">
        <w:rPr>
          <w:rFonts w:ascii="Calibri" w:hAnsi="Calibri"/>
        </w:rPr>
        <w:t xml:space="preserve"> must confirm the request follows established medical treatment guidelines and the</w:t>
      </w:r>
      <w:r w:rsidR="00150A2F" w:rsidRPr="4C61B943">
        <w:rPr>
          <w:rFonts w:ascii="Calibri" w:hAnsi="Calibri"/>
        </w:rPr>
        <w:t xml:space="preserve">y </w:t>
      </w:r>
      <w:r w:rsidR="00382769" w:rsidRPr="4C61B943">
        <w:rPr>
          <w:rFonts w:ascii="Calibri" w:hAnsi="Calibri"/>
        </w:rPr>
        <w:t xml:space="preserve">can either approve the treatment or refer it to UR for review. UR has five </w:t>
      </w:r>
      <w:r w:rsidR="211C0FCF" w:rsidRPr="4C61B943">
        <w:rPr>
          <w:rFonts w:ascii="Calibri" w:hAnsi="Calibri"/>
        </w:rPr>
        <w:t xml:space="preserve">business </w:t>
      </w:r>
      <w:r w:rsidR="00382769" w:rsidRPr="4C61B943">
        <w:rPr>
          <w:rFonts w:ascii="Calibri" w:hAnsi="Calibri"/>
        </w:rPr>
        <w:t xml:space="preserve">days to approve, deny, or modify (meaning to change in some way; e.g. approve 6 weeks of physical therapy instead of 10) the RFA. That can be extended to 14 days if the treatment request wasn’t supported by medical records and some additional information is needed from the requesting physician. </w:t>
      </w:r>
    </w:p>
    <w:p w14:paraId="0129D33F" w14:textId="77777777" w:rsidR="00775555" w:rsidRDefault="00775555" w:rsidP="00775555">
      <w:pPr>
        <w:pStyle w:val="NoSpacing"/>
        <w:rPr>
          <w:rFonts w:ascii="Calibri" w:hAnsi="Calibri"/>
        </w:rPr>
      </w:pPr>
    </w:p>
    <w:p w14:paraId="3C99C72B" w14:textId="0C424C01" w:rsidR="00775555" w:rsidRDefault="00775555" w:rsidP="00775555">
      <w:pPr>
        <w:pStyle w:val="NoSpacing"/>
        <w:ind w:left="1080"/>
        <w:rPr>
          <w:rFonts w:ascii="Calibri" w:hAnsi="Calibri"/>
        </w:rPr>
      </w:pPr>
      <w:r w:rsidRPr="0070783F">
        <w:rPr>
          <w:rFonts w:ascii="Calibri" w:hAnsi="Calibri"/>
        </w:rPr>
        <w:t>If the RFA is approved, then the process stops here.</w:t>
      </w:r>
      <w:r>
        <w:rPr>
          <w:rFonts w:ascii="Calibri" w:hAnsi="Calibri"/>
        </w:rPr>
        <w:t xml:space="preserve"> A claims administrator </w:t>
      </w:r>
      <w:r w:rsidR="006A5DEF">
        <w:rPr>
          <w:rFonts w:ascii="Calibri" w:hAnsi="Calibri"/>
        </w:rPr>
        <w:t>cannot</w:t>
      </w:r>
      <w:r>
        <w:rPr>
          <w:rFonts w:ascii="Calibri" w:hAnsi="Calibri"/>
        </w:rPr>
        <w:t xml:space="preserve"> challenge a UR approval.</w:t>
      </w:r>
      <w:r w:rsidRPr="0070783F">
        <w:rPr>
          <w:rFonts w:ascii="Calibri" w:hAnsi="Calibri"/>
        </w:rPr>
        <w:t xml:space="preserve"> If the RFA is modified or denied, then the </w:t>
      </w:r>
      <w:r w:rsidR="006A5DEF">
        <w:rPr>
          <w:rFonts w:ascii="Calibri" w:hAnsi="Calibri"/>
        </w:rPr>
        <w:t>Independent Medical Review (</w:t>
      </w:r>
      <w:r w:rsidRPr="0070783F">
        <w:rPr>
          <w:rFonts w:ascii="Calibri" w:hAnsi="Calibri"/>
        </w:rPr>
        <w:t>IMR</w:t>
      </w:r>
      <w:r w:rsidR="006A5DEF">
        <w:rPr>
          <w:rFonts w:ascii="Calibri" w:hAnsi="Calibri"/>
        </w:rPr>
        <w:t>)</w:t>
      </w:r>
      <w:r w:rsidRPr="0070783F">
        <w:rPr>
          <w:rFonts w:ascii="Calibri" w:hAnsi="Calibri"/>
        </w:rPr>
        <w:t xml:space="preserve"> process can be triggered</w:t>
      </w:r>
      <w:r>
        <w:rPr>
          <w:rFonts w:ascii="Calibri" w:hAnsi="Calibri"/>
        </w:rPr>
        <w:t xml:space="preserve"> by the injured worker</w:t>
      </w:r>
      <w:r w:rsidR="006A5DEF">
        <w:rPr>
          <w:rFonts w:ascii="Calibri" w:hAnsi="Calibri"/>
        </w:rPr>
        <w:t xml:space="preserve">, their attorney, or the physician. </w:t>
      </w:r>
    </w:p>
    <w:p w14:paraId="666A82A6" w14:textId="3263931D" w:rsidR="00A612FA" w:rsidRDefault="00A612FA" w:rsidP="00775555">
      <w:pPr>
        <w:pStyle w:val="NoSpacing"/>
        <w:ind w:left="1080"/>
        <w:rPr>
          <w:rFonts w:ascii="Calibri" w:hAnsi="Calibri"/>
        </w:rPr>
      </w:pPr>
    </w:p>
    <w:p w14:paraId="310F81A0" w14:textId="6295D74E" w:rsidR="00A612FA" w:rsidRDefault="00FA4A82" w:rsidP="00C028F6">
      <w:pPr>
        <w:pStyle w:val="NoSpacing"/>
        <w:ind w:left="1128"/>
        <w:rPr>
          <w:rFonts w:ascii="Calibri" w:hAnsi="Calibri"/>
        </w:rPr>
      </w:pPr>
      <w:r>
        <w:rPr>
          <w:rFonts w:ascii="Calibri" w:hAnsi="Calibri"/>
        </w:rPr>
        <w:t>In 2019, the California Institute on Workers Compensation published a report using the top law   firms identified in UR data which showed that some attorneys submitted nearly all their client’s treatment denials or modifications to IMR and others sent none.</w:t>
      </w:r>
    </w:p>
    <w:p w14:paraId="727A87B3" w14:textId="77777777" w:rsidR="00775555" w:rsidRPr="0070783F" w:rsidRDefault="00775555" w:rsidP="00382769">
      <w:pPr>
        <w:pStyle w:val="NoSpacing"/>
        <w:ind w:left="1080"/>
        <w:rPr>
          <w:rFonts w:ascii="Calibri" w:hAnsi="Calibri"/>
        </w:rPr>
      </w:pPr>
    </w:p>
    <w:p w14:paraId="61B4C37B" w14:textId="5FCECD74" w:rsidR="00382769" w:rsidRPr="0070783F" w:rsidRDefault="00C90086" w:rsidP="007B2DC8">
      <w:pPr>
        <w:pStyle w:val="NoSpacing"/>
        <w:ind w:left="1080"/>
        <w:rPr>
          <w:rFonts w:ascii="Calibri" w:hAnsi="Calibri"/>
        </w:rPr>
      </w:pPr>
      <w:r w:rsidRPr="0070783F">
        <w:rPr>
          <w:rFonts w:ascii="Calibri" w:hAnsi="Calibri"/>
        </w:rPr>
        <w:t>If IMR is not requested, then the decision stands as final. T</w:t>
      </w:r>
      <w:r w:rsidR="00FA4A82">
        <w:rPr>
          <w:rFonts w:ascii="Calibri" w:hAnsi="Calibri"/>
        </w:rPr>
        <w:t>hough t</w:t>
      </w:r>
      <w:r w:rsidRPr="0070783F">
        <w:rPr>
          <w:rFonts w:ascii="Calibri" w:hAnsi="Calibri"/>
        </w:rPr>
        <w:t>he UR process is controlled entirely by the claims administrator or a contractor</w:t>
      </w:r>
      <w:r w:rsidR="00565010">
        <w:rPr>
          <w:rFonts w:ascii="Calibri" w:hAnsi="Calibri"/>
        </w:rPr>
        <w:t>,</w:t>
      </w:r>
      <w:r w:rsidR="00FA4A82">
        <w:rPr>
          <w:rFonts w:ascii="Calibri" w:hAnsi="Calibri"/>
        </w:rPr>
        <w:t xml:space="preserve"> </w:t>
      </w:r>
      <w:r w:rsidRPr="0070783F">
        <w:rPr>
          <w:rFonts w:ascii="Calibri" w:hAnsi="Calibri"/>
        </w:rPr>
        <w:t xml:space="preserve">it is tightly regulated and every claims administrator and UR provider </w:t>
      </w:r>
      <w:r w:rsidR="00FA4A82">
        <w:rPr>
          <w:rFonts w:ascii="Calibri" w:hAnsi="Calibri"/>
        </w:rPr>
        <w:t xml:space="preserve">is </w:t>
      </w:r>
      <w:r w:rsidRPr="0070783F">
        <w:rPr>
          <w:rFonts w:ascii="Calibri" w:hAnsi="Calibri"/>
        </w:rPr>
        <w:t xml:space="preserve">audited </w:t>
      </w:r>
      <w:r w:rsidR="00223101">
        <w:rPr>
          <w:rFonts w:ascii="Calibri" w:hAnsi="Calibri"/>
        </w:rPr>
        <w:t>frequently</w:t>
      </w:r>
      <w:r w:rsidRPr="0070783F">
        <w:rPr>
          <w:rFonts w:ascii="Calibri" w:hAnsi="Calibri"/>
        </w:rPr>
        <w:t xml:space="preserve"> to review their performance. Audit scores are public and compliance errors are met with steep financial penalties. </w:t>
      </w:r>
    </w:p>
    <w:p w14:paraId="6EBC1D6C" w14:textId="77777777" w:rsidR="007B2DC8" w:rsidRPr="0070783F" w:rsidRDefault="007B2DC8" w:rsidP="00775555">
      <w:pPr>
        <w:pStyle w:val="NoSpacing"/>
        <w:rPr>
          <w:rFonts w:ascii="Calibri" w:hAnsi="Calibri"/>
        </w:rPr>
      </w:pPr>
    </w:p>
    <w:p w14:paraId="41C1ACF9" w14:textId="77777777" w:rsidR="00382769" w:rsidRPr="0070783F" w:rsidRDefault="00382769" w:rsidP="00382769">
      <w:pPr>
        <w:pStyle w:val="NoSpacing"/>
        <w:numPr>
          <w:ilvl w:val="0"/>
          <w:numId w:val="1"/>
        </w:numPr>
        <w:rPr>
          <w:rFonts w:ascii="Calibri" w:hAnsi="Calibri"/>
          <w:i/>
        </w:rPr>
      </w:pPr>
      <w:r w:rsidRPr="0070783F">
        <w:rPr>
          <w:rFonts w:ascii="Calibri" w:hAnsi="Calibri"/>
          <w:i/>
        </w:rPr>
        <w:t>Independent Medical Review</w:t>
      </w:r>
    </w:p>
    <w:p w14:paraId="5184ACB6" w14:textId="78A653CE" w:rsidR="00707EB0" w:rsidRDefault="007B2DC8" w:rsidP="00547B05">
      <w:pPr>
        <w:pStyle w:val="NoSpacing"/>
        <w:ind w:left="1080"/>
        <w:rPr>
          <w:rFonts w:ascii="Calibri" w:hAnsi="Calibri"/>
        </w:rPr>
      </w:pPr>
      <w:r w:rsidRPr="0070783F">
        <w:rPr>
          <w:rFonts w:ascii="Calibri" w:hAnsi="Calibri"/>
        </w:rPr>
        <w:t xml:space="preserve">If UR modifies or denies an RFA, then an injured worker has 30 days to request IMR. </w:t>
      </w:r>
      <w:r w:rsidR="002B37D6">
        <w:rPr>
          <w:rFonts w:ascii="Calibri" w:hAnsi="Calibri"/>
        </w:rPr>
        <w:t xml:space="preserve">IMR is provided through a company called Maximus that has an exclusive contract with the State of California to provide those services. </w:t>
      </w:r>
      <w:r w:rsidR="00DF6160">
        <w:rPr>
          <w:rFonts w:ascii="Calibri" w:hAnsi="Calibri"/>
        </w:rPr>
        <w:t>Maximus contracts with physicians to provide the independent reviews</w:t>
      </w:r>
      <w:r w:rsidR="00AC6E30">
        <w:rPr>
          <w:rFonts w:ascii="Calibri" w:hAnsi="Calibri"/>
        </w:rPr>
        <w:t xml:space="preserve"> after an initial examination </w:t>
      </w:r>
      <w:r w:rsidR="00D06D86">
        <w:rPr>
          <w:rFonts w:ascii="Calibri" w:hAnsi="Calibri"/>
        </w:rPr>
        <w:t xml:space="preserve">by the Division of Workers’ Compensation to ensure that an IMR request is eligible. </w:t>
      </w:r>
    </w:p>
    <w:p w14:paraId="1FEA02BE" w14:textId="19DDCAEB" w:rsidR="00547B05" w:rsidRDefault="00547B05" w:rsidP="00547B05">
      <w:pPr>
        <w:pStyle w:val="NoSpacing"/>
        <w:ind w:left="1080"/>
        <w:rPr>
          <w:rFonts w:ascii="Calibri" w:hAnsi="Calibri"/>
        </w:rPr>
      </w:pPr>
    </w:p>
    <w:p w14:paraId="6CBE4E91" w14:textId="2F4E3C4D" w:rsidR="00547B05" w:rsidRDefault="00547B05" w:rsidP="00547B05">
      <w:pPr>
        <w:pStyle w:val="NoSpacing"/>
        <w:ind w:left="1080"/>
        <w:rPr>
          <w:rFonts w:ascii="Calibri" w:hAnsi="Calibri"/>
        </w:rPr>
      </w:pPr>
      <w:r w:rsidRPr="4C61B943">
        <w:rPr>
          <w:rFonts w:ascii="Calibri" w:hAnsi="Calibri"/>
        </w:rPr>
        <w:t xml:space="preserve">The IMR provider applies the exact same medical standards that were used by the UR </w:t>
      </w:r>
      <w:r w:rsidR="76203C70" w:rsidRPr="4C61B943">
        <w:rPr>
          <w:rFonts w:ascii="Calibri" w:hAnsi="Calibri"/>
        </w:rPr>
        <w:t xml:space="preserve">organization </w:t>
      </w:r>
      <w:r w:rsidRPr="4C61B943">
        <w:rPr>
          <w:rFonts w:ascii="Calibri" w:hAnsi="Calibri"/>
        </w:rPr>
        <w:t xml:space="preserve">in the decision to modify or deny medical treatment. IMR serves as a “check and balance” on the decision </w:t>
      </w:r>
      <w:r w:rsidR="006B182B" w:rsidRPr="4C61B943">
        <w:rPr>
          <w:rFonts w:ascii="Calibri" w:hAnsi="Calibri"/>
        </w:rPr>
        <w:t xml:space="preserve">of medical necessity </w:t>
      </w:r>
      <w:r w:rsidRPr="4C61B943">
        <w:rPr>
          <w:rFonts w:ascii="Calibri" w:hAnsi="Calibri"/>
        </w:rPr>
        <w:t xml:space="preserve">that was made by the UR </w:t>
      </w:r>
      <w:r w:rsidR="33CBA0D9" w:rsidRPr="4C61B943">
        <w:rPr>
          <w:rFonts w:ascii="Calibri" w:hAnsi="Calibri"/>
        </w:rPr>
        <w:t>organization</w:t>
      </w:r>
      <w:r w:rsidRPr="4C61B943">
        <w:rPr>
          <w:rFonts w:ascii="Calibri" w:hAnsi="Calibri"/>
        </w:rPr>
        <w:t>. Once IMR is triggered by a request, a claims administrator has 14 days to deliver records to the IMR provider. Once the IMR provider gets the records</w:t>
      </w:r>
      <w:r w:rsidR="006B182B" w:rsidRPr="4C61B943">
        <w:rPr>
          <w:rFonts w:ascii="Calibri" w:hAnsi="Calibri"/>
        </w:rPr>
        <w:t>,</w:t>
      </w:r>
      <w:r w:rsidRPr="4C61B943">
        <w:rPr>
          <w:rFonts w:ascii="Calibri" w:hAnsi="Calibri"/>
        </w:rPr>
        <w:t xml:space="preserve"> they have 30 days to deliver a decision. The decision is final. </w:t>
      </w:r>
    </w:p>
    <w:p w14:paraId="55001D87" w14:textId="7940977A" w:rsidR="00547B05" w:rsidRDefault="00547B05" w:rsidP="00547B05">
      <w:pPr>
        <w:pStyle w:val="NoSpacing"/>
        <w:ind w:left="1080"/>
        <w:rPr>
          <w:rFonts w:ascii="Calibri" w:hAnsi="Calibri"/>
        </w:rPr>
      </w:pPr>
    </w:p>
    <w:p w14:paraId="3E001EBA" w14:textId="2FE1C26E" w:rsidR="00547B05" w:rsidRPr="0070783F" w:rsidRDefault="00547B05" w:rsidP="00547B05">
      <w:pPr>
        <w:pStyle w:val="NoSpacing"/>
        <w:ind w:left="1080"/>
        <w:rPr>
          <w:rFonts w:ascii="Calibri" w:hAnsi="Calibri"/>
        </w:rPr>
      </w:pPr>
      <w:r w:rsidRPr="4C61B943">
        <w:rPr>
          <w:rFonts w:ascii="Calibri" w:hAnsi="Calibri"/>
        </w:rPr>
        <w:t xml:space="preserve">Prior to IMR medical disputes were resolved by obtaining a medical report that would then inform a decision made </w:t>
      </w:r>
      <w:r w:rsidR="76B1B123" w:rsidRPr="4C61B943">
        <w:rPr>
          <w:rFonts w:ascii="Calibri" w:hAnsi="Calibri"/>
        </w:rPr>
        <w:t>b</w:t>
      </w:r>
      <w:r w:rsidRPr="4C61B943">
        <w:rPr>
          <w:rFonts w:ascii="Calibri" w:hAnsi="Calibri"/>
        </w:rPr>
        <w:t xml:space="preserve">y a judge at the workers’ compensation appeals board, and this process could take months or years depending on the specific circumstances. IMR </w:t>
      </w:r>
      <w:r w:rsidR="0034413E" w:rsidRPr="4C61B943">
        <w:rPr>
          <w:rFonts w:ascii="Calibri" w:hAnsi="Calibri"/>
        </w:rPr>
        <w:t>was</w:t>
      </w:r>
      <w:r w:rsidRPr="4C61B943">
        <w:rPr>
          <w:rFonts w:ascii="Calibri" w:hAnsi="Calibri"/>
        </w:rPr>
        <w:t xml:space="preserve"> a significant improvement for the system</w:t>
      </w:r>
      <w:r w:rsidR="0034413E" w:rsidRPr="4C61B943">
        <w:rPr>
          <w:rFonts w:ascii="Calibri" w:hAnsi="Calibri"/>
        </w:rPr>
        <w:t xml:space="preserve">, leading to faster resolution of disputes, less delay for injured workers, and less cost for employers. </w:t>
      </w:r>
    </w:p>
    <w:p w14:paraId="5F998348" w14:textId="77777777" w:rsidR="005B6DE3" w:rsidRPr="0070783F" w:rsidRDefault="005B6DE3" w:rsidP="005B6DE3">
      <w:pPr>
        <w:pStyle w:val="NoSpacing"/>
        <w:rPr>
          <w:rFonts w:ascii="Calibri" w:hAnsi="Calibri"/>
        </w:rPr>
      </w:pPr>
    </w:p>
    <w:p w14:paraId="1569A6BF" w14:textId="05DAE73C" w:rsidR="00F06446" w:rsidRDefault="005B6DE3" w:rsidP="005B6DE3">
      <w:pPr>
        <w:pStyle w:val="NoSpacing"/>
        <w:rPr>
          <w:rFonts w:ascii="Calibri" w:hAnsi="Calibri"/>
        </w:rPr>
      </w:pPr>
      <w:r w:rsidRPr="4C61B943">
        <w:rPr>
          <w:rFonts w:ascii="Calibri" w:hAnsi="Calibri"/>
        </w:rPr>
        <w:lastRenderedPageBreak/>
        <w:t>The UR portion of this process is quite fast – 5</w:t>
      </w:r>
      <w:r w:rsidR="49AEC3C2" w:rsidRPr="4C61B943">
        <w:rPr>
          <w:rFonts w:ascii="Calibri" w:hAnsi="Calibri"/>
        </w:rPr>
        <w:t xml:space="preserve"> to </w:t>
      </w:r>
      <w:r w:rsidRPr="4C61B943">
        <w:rPr>
          <w:rFonts w:ascii="Calibri" w:hAnsi="Calibri"/>
        </w:rPr>
        <w:t xml:space="preserve">14 days. The IMR portion, with the 30 days to request and 30 days to reach a decision, extends the process considerably.  However, this is a vast improvement over the prior </w:t>
      </w:r>
      <w:r w:rsidR="00F06446" w:rsidRPr="4C61B943">
        <w:rPr>
          <w:rFonts w:ascii="Calibri" w:hAnsi="Calibri"/>
        </w:rPr>
        <w:t xml:space="preserve">processes </w:t>
      </w:r>
      <w:r w:rsidR="006B182B" w:rsidRPr="4C61B943">
        <w:rPr>
          <w:rFonts w:ascii="Calibri" w:hAnsi="Calibri"/>
        </w:rPr>
        <w:t xml:space="preserve">when </w:t>
      </w:r>
      <w:r w:rsidR="00F06446" w:rsidRPr="4C61B943">
        <w:rPr>
          <w:rFonts w:ascii="Calibri" w:hAnsi="Calibri"/>
        </w:rPr>
        <w:t>medical treatment disputes were settled by a</w:t>
      </w:r>
      <w:r w:rsidR="00C67D22" w:rsidRPr="4C61B943">
        <w:rPr>
          <w:rFonts w:ascii="Calibri" w:hAnsi="Calibri"/>
        </w:rPr>
        <w:t xml:space="preserve"> comprehensive</w:t>
      </w:r>
      <w:r w:rsidR="00F06446" w:rsidRPr="4C61B943">
        <w:rPr>
          <w:rFonts w:ascii="Calibri" w:hAnsi="Calibri"/>
        </w:rPr>
        <w:t xml:space="preserve"> medical evaluation and then litigated </w:t>
      </w:r>
      <w:r w:rsidR="00C67D22" w:rsidRPr="4C61B943">
        <w:rPr>
          <w:rFonts w:ascii="Calibri" w:hAnsi="Calibri"/>
        </w:rPr>
        <w:t>at the workers’ compensation appeals board.</w:t>
      </w:r>
      <w:r w:rsidR="00F06446" w:rsidRPr="4C61B943">
        <w:rPr>
          <w:rFonts w:ascii="Calibri" w:hAnsi="Calibri"/>
        </w:rPr>
        <w:t xml:space="preserve"> In many cases</w:t>
      </w:r>
      <w:r w:rsidR="00C67D22" w:rsidRPr="4C61B943">
        <w:rPr>
          <w:rFonts w:ascii="Calibri" w:hAnsi="Calibri"/>
        </w:rPr>
        <w:t xml:space="preserve"> this process</w:t>
      </w:r>
      <w:r w:rsidR="00F06446" w:rsidRPr="4C61B943">
        <w:rPr>
          <w:rFonts w:ascii="Calibri" w:hAnsi="Calibri"/>
        </w:rPr>
        <w:t xml:space="preserve"> took 6-12 months to resolve disputes of medical treatment</w:t>
      </w:r>
      <w:r w:rsidR="00C67D22" w:rsidRPr="4C61B943">
        <w:rPr>
          <w:rFonts w:ascii="Calibri" w:hAnsi="Calibri"/>
        </w:rPr>
        <w:t xml:space="preserve"> because of the time needed to schedule evaluations and court proceedings</w:t>
      </w:r>
      <w:r w:rsidR="00F06446" w:rsidRPr="4C61B943">
        <w:rPr>
          <w:rFonts w:ascii="Calibri" w:hAnsi="Calibri"/>
        </w:rPr>
        <w:t>. The legislative history on this issue is clear. It is indisputable that the UR and IMR processes have streamlined the decision-making process and delivered treatment m</w:t>
      </w:r>
      <w:r w:rsidR="00547FE9" w:rsidRPr="4C61B943">
        <w:rPr>
          <w:rFonts w:ascii="Calibri" w:hAnsi="Calibri"/>
        </w:rPr>
        <w:t>ore quickly to injured workers.</w:t>
      </w:r>
      <w:r w:rsidR="00775555" w:rsidRPr="4C61B943">
        <w:rPr>
          <w:rFonts w:ascii="Calibri" w:hAnsi="Calibri"/>
        </w:rPr>
        <w:t xml:space="preserve"> </w:t>
      </w:r>
    </w:p>
    <w:p w14:paraId="276B64F7" w14:textId="7BE46C6F" w:rsidR="00707EB0" w:rsidRDefault="00707EB0" w:rsidP="005B6DE3">
      <w:pPr>
        <w:pStyle w:val="NoSpacing"/>
        <w:rPr>
          <w:rFonts w:ascii="Calibri" w:hAnsi="Calibri"/>
        </w:rPr>
      </w:pPr>
    </w:p>
    <w:p w14:paraId="3981733D" w14:textId="5C2E8246" w:rsidR="00707EB0" w:rsidRPr="00707EB0" w:rsidRDefault="00011C36" w:rsidP="005B6DE3">
      <w:pPr>
        <w:pStyle w:val="NoSpacing"/>
        <w:rPr>
          <w:rFonts w:ascii="Calibri" w:hAnsi="Calibri"/>
          <w:b/>
          <w:bCs/>
          <w:u w:val="single"/>
        </w:rPr>
      </w:pPr>
      <w:r w:rsidRPr="4380A1F5">
        <w:rPr>
          <w:rFonts w:ascii="Calibri" w:hAnsi="Calibri"/>
          <w:b/>
          <w:bCs/>
          <w:u w:val="single"/>
        </w:rPr>
        <w:t>STATE DATA SHOWS</w:t>
      </w:r>
      <w:r w:rsidR="006B182B" w:rsidRPr="4380A1F5">
        <w:rPr>
          <w:rFonts w:ascii="Calibri" w:hAnsi="Calibri"/>
          <w:b/>
          <w:bCs/>
          <w:u w:val="single"/>
        </w:rPr>
        <w:t xml:space="preserve"> UR and IMR WORK</w:t>
      </w:r>
    </w:p>
    <w:p w14:paraId="274C0E06" w14:textId="5A174887" w:rsidR="00677AEB" w:rsidRDefault="00707EB0" w:rsidP="005B6DE3">
      <w:pPr>
        <w:pStyle w:val="NoSpacing"/>
        <w:rPr>
          <w:rFonts w:ascii="Calibri" w:hAnsi="Calibri"/>
        </w:rPr>
      </w:pPr>
      <w:r w:rsidRPr="4C61B943">
        <w:rPr>
          <w:rFonts w:ascii="Calibri" w:hAnsi="Calibri"/>
        </w:rPr>
        <w:t>We understand why the</w:t>
      </w:r>
      <w:r w:rsidR="00677AEB" w:rsidRPr="4C61B943">
        <w:rPr>
          <w:rFonts w:ascii="Calibri" w:hAnsi="Calibri"/>
        </w:rPr>
        <w:t xml:space="preserve"> legislature </w:t>
      </w:r>
      <w:r w:rsidRPr="4C61B943">
        <w:rPr>
          <w:rFonts w:ascii="Calibri" w:hAnsi="Calibri"/>
        </w:rPr>
        <w:t>would be</w:t>
      </w:r>
      <w:r w:rsidR="00677AEB" w:rsidRPr="4C61B943">
        <w:rPr>
          <w:rFonts w:ascii="Calibri" w:hAnsi="Calibri"/>
        </w:rPr>
        <w:t xml:space="preserve"> concerned about delays</w:t>
      </w:r>
      <w:r w:rsidRPr="4C61B943">
        <w:rPr>
          <w:rFonts w:ascii="Calibri" w:hAnsi="Calibri"/>
        </w:rPr>
        <w:t xml:space="preserve"> that e</w:t>
      </w:r>
      <w:r w:rsidR="06D518CC" w:rsidRPr="4C61B943">
        <w:rPr>
          <w:rFonts w:ascii="Calibri" w:hAnsi="Calibri"/>
        </w:rPr>
        <w:t xml:space="preserve">rode </w:t>
      </w:r>
      <w:r w:rsidRPr="4C61B943">
        <w:rPr>
          <w:rFonts w:ascii="Calibri" w:hAnsi="Calibri"/>
        </w:rPr>
        <w:t>an injured worker’s time-limited Temporary Disability</w:t>
      </w:r>
      <w:r w:rsidR="00011C36" w:rsidRPr="4C61B943">
        <w:rPr>
          <w:rFonts w:ascii="Calibri" w:hAnsi="Calibri"/>
        </w:rPr>
        <w:t xml:space="preserve"> (TD)</w:t>
      </w:r>
      <w:r w:rsidRPr="4C61B943">
        <w:rPr>
          <w:rFonts w:ascii="Calibri" w:hAnsi="Calibri"/>
        </w:rPr>
        <w:t xml:space="preserve"> benefits. Fortunately, there is clear data that demonstrates that UR is not </w:t>
      </w:r>
      <w:r w:rsidR="00DE3B49" w:rsidRPr="4C61B943">
        <w:rPr>
          <w:rFonts w:ascii="Calibri" w:hAnsi="Calibri"/>
        </w:rPr>
        <w:t>a</w:t>
      </w:r>
      <w:r w:rsidRPr="4C61B943">
        <w:rPr>
          <w:rFonts w:ascii="Calibri" w:hAnsi="Calibri"/>
        </w:rPr>
        <w:t xml:space="preserve"> problem.</w:t>
      </w:r>
      <w:r w:rsidR="00677AEB" w:rsidRPr="4C61B943">
        <w:rPr>
          <w:rFonts w:ascii="Calibri" w:hAnsi="Calibri"/>
        </w:rPr>
        <w:t xml:space="preserve"> The problem lies with attorneys and doctors who </w:t>
      </w:r>
      <w:r w:rsidRPr="4C61B943">
        <w:rPr>
          <w:rFonts w:ascii="Calibri" w:hAnsi="Calibri"/>
        </w:rPr>
        <w:t>continue to</w:t>
      </w:r>
      <w:r w:rsidR="00677AEB" w:rsidRPr="4C61B943">
        <w:rPr>
          <w:rFonts w:ascii="Calibri" w:hAnsi="Calibri"/>
        </w:rPr>
        <w:t xml:space="preserve"> needlessly challenge UR decisions at obscene volumes</w:t>
      </w:r>
      <w:r w:rsidR="006B182B" w:rsidRPr="4C61B943">
        <w:rPr>
          <w:rFonts w:ascii="Calibri" w:hAnsi="Calibri"/>
        </w:rPr>
        <w:t>,</w:t>
      </w:r>
      <w:r w:rsidR="00677AEB" w:rsidRPr="4C61B943">
        <w:rPr>
          <w:rFonts w:ascii="Calibri" w:hAnsi="Calibri"/>
        </w:rPr>
        <w:t xml:space="preserve"> </w:t>
      </w:r>
      <w:r w:rsidRPr="4C61B943">
        <w:rPr>
          <w:rFonts w:ascii="Calibri" w:hAnsi="Calibri"/>
        </w:rPr>
        <w:t>despite losing these appeals at a rate of 90% for an entire decade.</w:t>
      </w:r>
      <w:r w:rsidR="00677AEB" w:rsidRPr="4C61B943">
        <w:rPr>
          <w:rFonts w:ascii="Calibri" w:hAnsi="Calibri"/>
        </w:rPr>
        <w:t xml:space="preserve"> The UR process is fast, accurate, and accountable. The delay </w:t>
      </w:r>
      <w:r w:rsidRPr="4C61B943">
        <w:rPr>
          <w:rFonts w:ascii="Calibri" w:hAnsi="Calibri"/>
        </w:rPr>
        <w:t xml:space="preserve">comes from the hundreds of </w:t>
      </w:r>
      <w:r w:rsidR="004E032C" w:rsidRPr="4C61B943">
        <w:rPr>
          <w:rFonts w:ascii="Calibri" w:hAnsi="Calibri"/>
        </w:rPr>
        <w:t>thousands</w:t>
      </w:r>
      <w:r w:rsidRPr="4C61B943">
        <w:rPr>
          <w:rFonts w:ascii="Calibri" w:hAnsi="Calibri"/>
        </w:rPr>
        <w:t xml:space="preserve"> of IMR requests that are needlessly requested on an annual basis</w:t>
      </w:r>
      <w:r w:rsidR="004E032C" w:rsidRPr="4C61B943">
        <w:rPr>
          <w:rFonts w:ascii="Calibri" w:hAnsi="Calibri"/>
        </w:rPr>
        <w:t xml:space="preserve"> and cause a substantial delay for the injured worker. </w:t>
      </w:r>
    </w:p>
    <w:p w14:paraId="030CB094" w14:textId="18DEC495" w:rsidR="004E032C" w:rsidRDefault="004E032C" w:rsidP="005B6DE3">
      <w:pPr>
        <w:pStyle w:val="NoSpacing"/>
        <w:rPr>
          <w:rFonts w:ascii="Calibri" w:hAnsi="Calibri"/>
        </w:rPr>
      </w:pPr>
    </w:p>
    <w:tbl>
      <w:tblPr>
        <w:tblStyle w:val="TableGrid"/>
        <w:tblW w:w="0" w:type="auto"/>
        <w:tblLook w:val="04A0" w:firstRow="1" w:lastRow="0" w:firstColumn="1" w:lastColumn="0" w:noHBand="0" w:noVBand="1"/>
      </w:tblPr>
      <w:tblGrid>
        <w:gridCol w:w="1451"/>
        <w:gridCol w:w="2841"/>
        <w:gridCol w:w="2602"/>
        <w:gridCol w:w="2456"/>
      </w:tblGrid>
      <w:tr w:rsidR="004E032C" w14:paraId="3014BBEC" w14:textId="77777777" w:rsidTr="00011C36">
        <w:tc>
          <w:tcPr>
            <w:tcW w:w="1525" w:type="dxa"/>
            <w:shd w:val="clear" w:color="auto" w:fill="D9D9D9" w:themeFill="background1" w:themeFillShade="D9"/>
          </w:tcPr>
          <w:p w14:paraId="7DE089C6" w14:textId="03D6368D" w:rsidR="004E032C" w:rsidRPr="00011C36" w:rsidRDefault="004E032C" w:rsidP="00FB1A24">
            <w:pPr>
              <w:pStyle w:val="NoSpacing"/>
              <w:rPr>
                <w:rFonts w:ascii="Calibri" w:hAnsi="Calibri"/>
                <w:b/>
                <w:bCs/>
              </w:rPr>
            </w:pPr>
            <w:r w:rsidRPr="00011C36">
              <w:rPr>
                <w:rFonts w:ascii="Calibri" w:hAnsi="Calibri"/>
                <w:b/>
                <w:bCs/>
              </w:rPr>
              <w:t>Calendar Year</w:t>
            </w:r>
          </w:p>
        </w:tc>
        <w:tc>
          <w:tcPr>
            <w:tcW w:w="3150" w:type="dxa"/>
            <w:shd w:val="clear" w:color="auto" w:fill="D9D9D9" w:themeFill="background1" w:themeFillShade="D9"/>
          </w:tcPr>
          <w:p w14:paraId="2A126DC3" w14:textId="026B5A44" w:rsidR="004E032C" w:rsidRPr="00011C36" w:rsidRDefault="004E032C" w:rsidP="00FB1A24">
            <w:pPr>
              <w:pStyle w:val="NoSpacing"/>
              <w:rPr>
                <w:rFonts w:ascii="Calibri" w:hAnsi="Calibri"/>
                <w:b/>
                <w:bCs/>
              </w:rPr>
            </w:pPr>
            <w:r w:rsidRPr="00011C36">
              <w:rPr>
                <w:rFonts w:ascii="Calibri" w:hAnsi="Calibri"/>
                <w:b/>
                <w:bCs/>
              </w:rPr>
              <w:t>Total Number of IMR Requests</w:t>
            </w:r>
          </w:p>
        </w:tc>
        <w:tc>
          <w:tcPr>
            <w:tcW w:w="2880" w:type="dxa"/>
            <w:shd w:val="clear" w:color="auto" w:fill="D9D9D9" w:themeFill="background1" w:themeFillShade="D9"/>
          </w:tcPr>
          <w:p w14:paraId="20099CFF" w14:textId="5224877A" w:rsidR="004E032C" w:rsidRPr="00011C36" w:rsidRDefault="004E032C" w:rsidP="00FB1A24">
            <w:pPr>
              <w:pStyle w:val="NoSpacing"/>
              <w:rPr>
                <w:rFonts w:ascii="Calibri" w:hAnsi="Calibri"/>
                <w:b/>
                <w:bCs/>
              </w:rPr>
            </w:pPr>
            <w:r w:rsidRPr="00011C36">
              <w:rPr>
                <w:rFonts w:ascii="Calibri" w:hAnsi="Calibri"/>
                <w:b/>
                <w:bCs/>
              </w:rPr>
              <w:t>UR Decision Upheld</w:t>
            </w:r>
          </w:p>
        </w:tc>
        <w:tc>
          <w:tcPr>
            <w:tcW w:w="2659" w:type="dxa"/>
            <w:shd w:val="clear" w:color="auto" w:fill="D9D9D9" w:themeFill="background1" w:themeFillShade="D9"/>
          </w:tcPr>
          <w:p w14:paraId="2BD89D3B" w14:textId="469006E4" w:rsidR="004E032C" w:rsidRPr="00011C36" w:rsidRDefault="004E032C" w:rsidP="00FB1A24">
            <w:pPr>
              <w:pStyle w:val="NoSpacing"/>
              <w:rPr>
                <w:rFonts w:ascii="Calibri" w:hAnsi="Calibri"/>
                <w:b/>
                <w:bCs/>
              </w:rPr>
            </w:pPr>
            <w:r w:rsidRPr="00011C36">
              <w:rPr>
                <w:rFonts w:ascii="Calibri" w:hAnsi="Calibri"/>
                <w:b/>
                <w:bCs/>
              </w:rPr>
              <w:t>UR Decision Overturned</w:t>
            </w:r>
          </w:p>
        </w:tc>
      </w:tr>
      <w:tr w:rsidR="004E032C" w14:paraId="33B58FC1" w14:textId="77777777" w:rsidTr="00011C36">
        <w:tc>
          <w:tcPr>
            <w:tcW w:w="1525" w:type="dxa"/>
          </w:tcPr>
          <w:p w14:paraId="267A1E42" w14:textId="5C39019A" w:rsidR="004E032C" w:rsidRDefault="004E032C" w:rsidP="00FB1A24">
            <w:pPr>
              <w:pStyle w:val="NoSpacing"/>
              <w:rPr>
                <w:rFonts w:ascii="Calibri" w:hAnsi="Calibri"/>
              </w:rPr>
            </w:pPr>
            <w:r>
              <w:rPr>
                <w:rFonts w:ascii="Calibri" w:hAnsi="Calibri"/>
              </w:rPr>
              <w:t>2021</w:t>
            </w:r>
          </w:p>
        </w:tc>
        <w:tc>
          <w:tcPr>
            <w:tcW w:w="3150" w:type="dxa"/>
            <w:vAlign w:val="center"/>
          </w:tcPr>
          <w:p w14:paraId="35E7956E" w14:textId="00000EDE" w:rsidR="004E032C" w:rsidRDefault="004E032C" w:rsidP="00011C36">
            <w:pPr>
              <w:pStyle w:val="NoSpacing"/>
              <w:jc w:val="center"/>
              <w:rPr>
                <w:rFonts w:ascii="Calibri" w:hAnsi="Calibri"/>
              </w:rPr>
            </w:pPr>
            <w:r>
              <w:rPr>
                <w:rFonts w:ascii="Calibri" w:hAnsi="Calibri"/>
              </w:rPr>
              <w:t>264,196</w:t>
            </w:r>
          </w:p>
        </w:tc>
        <w:tc>
          <w:tcPr>
            <w:tcW w:w="2880" w:type="dxa"/>
            <w:vAlign w:val="center"/>
          </w:tcPr>
          <w:p w14:paraId="105C736E" w14:textId="2B24DC71" w:rsidR="004E032C" w:rsidRDefault="004E032C" w:rsidP="00011C36">
            <w:pPr>
              <w:pStyle w:val="NoSpacing"/>
              <w:jc w:val="center"/>
              <w:rPr>
                <w:rFonts w:ascii="Calibri" w:hAnsi="Calibri"/>
              </w:rPr>
            </w:pPr>
            <w:r>
              <w:rPr>
                <w:rFonts w:ascii="Calibri" w:hAnsi="Calibri"/>
              </w:rPr>
              <w:t>92.8%</w:t>
            </w:r>
          </w:p>
        </w:tc>
        <w:tc>
          <w:tcPr>
            <w:tcW w:w="2659" w:type="dxa"/>
            <w:vAlign w:val="center"/>
          </w:tcPr>
          <w:p w14:paraId="45C50DF7" w14:textId="18835649" w:rsidR="004E032C" w:rsidRDefault="004E032C" w:rsidP="00011C36">
            <w:pPr>
              <w:pStyle w:val="NoSpacing"/>
              <w:jc w:val="center"/>
              <w:rPr>
                <w:rFonts w:ascii="Calibri" w:hAnsi="Calibri"/>
              </w:rPr>
            </w:pPr>
            <w:r>
              <w:rPr>
                <w:rFonts w:ascii="Calibri" w:hAnsi="Calibri"/>
              </w:rPr>
              <w:t>7.2%</w:t>
            </w:r>
          </w:p>
        </w:tc>
      </w:tr>
      <w:tr w:rsidR="004E032C" w14:paraId="43F0A9A1" w14:textId="77777777" w:rsidTr="00011C36">
        <w:tc>
          <w:tcPr>
            <w:tcW w:w="1525" w:type="dxa"/>
          </w:tcPr>
          <w:p w14:paraId="57589C7A" w14:textId="2A1237FB" w:rsidR="004E032C" w:rsidRDefault="004E032C" w:rsidP="00FB1A24">
            <w:pPr>
              <w:pStyle w:val="NoSpacing"/>
              <w:rPr>
                <w:rFonts w:ascii="Calibri" w:hAnsi="Calibri"/>
              </w:rPr>
            </w:pPr>
            <w:r>
              <w:rPr>
                <w:rFonts w:ascii="Calibri" w:hAnsi="Calibri"/>
              </w:rPr>
              <w:t>2020</w:t>
            </w:r>
          </w:p>
        </w:tc>
        <w:tc>
          <w:tcPr>
            <w:tcW w:w="3150" w:type="dxa"/>
            <w:vAlign w:val="center"/>
          </w:tcPr>
          <w:p w14:paraId="7D77EB74" w14:textId="05AE5429" w:rsidR="004E032C" w:rsidRDefault="004E032C" w:rsidP="00011C36">
            <w:pPr>
              <w:pStyle w:val="NoSpacing"/>
              <w:jc w:val="center"/>
              <w:rPr>
                <w:rFonts w:ascii="Calibri" w:hAnsi="Calibri"/>
              </w:rPr>
            </w:pPr>
            <w:r>
              <w:rPr>
                <w:rFonts w:ascii="Calibri" w:hAnsi="Calibri"/>
              </w:rPr>
              <w:t>270,281</w:t>
            </w:r>
          </w:p>
        </w:tc>
        <w:tc>
          <w:tcPr>
            <w:tcW w:w="2880" w:type="dxa"/>
            <w:vAlign w:val="center"/>
          </w:tcPr>
          <w:p w14:paraId="7C90B9FF" w14:textId="381B3F8B" w:rsidR="004E032C" w:rsidRDefault="004E032C" w:rsidP="00011C36">
            <w:pPr>
              <w:pStyle w:val="NoSpacing"/>
              <w:jc w:val="center"/>
              <w:rPr>
                <w:rFonts w:ascii="Calibri" w:hAnsi="Calibri"/>
              </w:rPr>
            </w:pPr>
            <w:r>
              <w:rPr>
                <w:rFonts w:ascii="Calibri" w:hAnsi="Calibri"/>
              </w:rPr>
              <w:t>90.5%</w:t>
            </w:r>
          </w:p>
        </w:tc>
        <w:tc>
          <w:tcPr>
            <w:tcW w:w="2659" w:type="dxa"/>
            <w:vAlign w:val="center"/>
          </w:tcPr>
          <w:p w14:paraId="573C6B63" w14:textId="2BDAD9BB" w:rsidR="004E032C" w:rsidRDefault="004E032C" w:rsidP="00011C36">
            <w:pPr>
              <w:pStyle w:val="NoSpacing"/>
              <w:jc w:val="center"/>
              <w:rPr>
                <w:rFonts w:ascii="Calibri" w:hAnsi="Calibri"/>
              </w:rPr>
            </w:pPr>
            <w:r>
              <w:rPr>
                <w:rFonts w:ascii="Calibri" w:hAnsi="Calibri"/>
              </w:rPr>
              <w:t>9.5%</w:t>
            </w:r>
          </w:p>
        </w:tc>
      </w:tr>
      <w:tr w:rsidR="004E032C" w14:paraId="0C677A86" w14:textId="77777777" w:rsidTr="00011C36">
        <w:tc>
          <w:tcPr>
            <w:tcW w:w="1525" w:type="dxa"/>
          </w:tcPr>
          <w:p w14:paraId="02A85837" w14:textId="0051634A" w:rsidR="004E032C" w:rsidRDefault="004E032C" w:rsidP="00FB1A24">
            <w:pPr>
              <w:pStyle w:val="NoSpacing"/>
              <w:rPr>
                <w:rFonts w:ascii="Calibri" w:hAnsi="Calibri"/>
              </w:rPr>
            </w:pPr>
            <w:r>
              <w:rPr>
                <w:rFonts w:ascii="Calibri" w:hAnsi="Calibri"/>
              </w:rPr>
              <w:t>2019</w:t>
            </w:r>
          </w:p>
        </w:tc>
        <w:tc>
          <w:tcPr>
            <w:tcW w:w="3150" w:type="dxa"/>
            <w:vAlign w:val="center"/>
          </w:tcPr>
          <w:p w14:paraId="0F4CD77A" w14:textId="1C207A1B" w:rsidR="004E032C" w:rsidRDefault="004E032C" w:rsidP="00011C36">
            <w:pPr>
              <w:pStyle w:val="NoSpacing"/>
              <w:jc w:val="center"/>
              <w:rPr>
                <w:rFonts w:ascii="Calibri" w:hAnsi="Calibri"/>
              </w:rPr>
            </w:pPr>
            <w:r>
              <w:rPr>
                <w:rFonts w:ascii="Calibri" w:hAnsi="Calibri"/>
              </w:rPr>
              <w:t>319,505</w:t>
            </w:r>
          </w:p>
        </w:tc>
        <w:tc>
          <w:tcPr>
            <w:tcW w:w="2880" w:type="dxa"/>
            <w:vAlign w:val="center"/>
          </w:tcPr>
          <w:p w14:paraId="11F31E38" w14:textId="355F83FB" w:rsidR="004E032C" w:rsidRDefault="004E032C" w:rsidP="00011C36">
            <w:pPr>
              <w:pStyle w:val="NoSpacing"/>
              <w:jc w:val="center"/>
              <w:rPr>
                <w:rFonts w:ascii="Calibri" w:hAnsi="Calibri"/>
              </w:rPr>
            </w:pPr>
            <w:r>
              <w:rPr>
                <w:rFonts w:ascii="Calibri" w:hAnsi="Calibri"/>
              </w:rPr>
              <w:t>89.6%</w:t>
            </w:r>
          </w:p>
        </w:tc>
        <w:tc>
          <w:tcPr>
            <w:tcW w:w="2659" w:type="dxa"/>
            <w:vAlign w:val="center"/>
          </w:tcPr>
          <w:p w14:paraId="36DB0BFB" w14:textId="150343DD" w:rsidR="004E032C" w:rsidRDefault="004E032C" w:rsidP="00011C36">
            <w:pPr>
              <w:pStyle w:val="NoSpacing"/>
              <w:jc w:val="center"/>
              <w:rPr>
                <w:rFonts w:ascii="Calibri" w:hAnsi="Calibri"/>
              </w:rPr>
            </w:pPr>
            <w:r>
              <w:rPr>
                <w:rFonts w:ascii="Calibri" w:hAnsi="Calibri"/>
              </w:rPr>
              <w:t>10.4%</w:t>
            </w:r>
          </w:p>
        </w:tc>
      </w:tr>
      <w:tr w:rsidR="004E032C" w14:paraId="782598B4" w14:textId="77777777" w:rsidTr="00011C36">
        <w:tc>
          <w:tcPr>
            <w:tcW w:w="1525" w:type="dxa"/>
          </w:tcPr>
          <w:p w14:paraId="78D40E17" w14:textId="29ADD23D" w:rsidR="004E032C" w:rsidRDefault="004E032C" w:rsidP="00FB1A24">
            <w:pPr>
              <w:pStyle w:val="NoSpacing"/>
              <w:rPr>
                <w:rFonts w:ascii="Calibri" w:hAnsi="Calibri"/>
              </w:rPr>
            </w:pPr>
            <w:r>
              <w:rPr>
                <w:rFonts w:ascii="Calibri" w:hAnsi="Calibri"/>
              </w:rPr>
              <w:t>2018</w:t>
            </w:r>
          </w:p>
        </w:tc>
        <w:tc>
          <w:tcPr>
            <w:tcW w:w="3150" w:type="dxa"/>
            <w:vAlign w:val="center"/>
          </w:tcPr>
          <w:p w14:paraId="7A2D7705" w14:textId="569C9F10" w:rsidR="004E032C" w:rsidRDefault="004E032C" w:rsidP="00011C36">
            <w:pPr>
              <w:pStyle w:val="NoSpacing"/>
              <w:jc w:val="center"/>
              <w:rPr>
                <w:rFonts w:ascii="Calibri" w:hAnsi="Calibri"/>
              </w:rPr>
            </w:pPr>
            <w:r>
              <w:rPr>
                <w:rFonts w:ascii="Calibri" w:hAnsi="Calibri"/>
              </w:rPr>
              <w:t>360,124</w:t>
            </w:r>
          </w:p>
        </w:tc>
        <w:tc>
          <w:tcPr>
            <w:tcW w:w="2880" w:type="dxa"/>
            <w:vAlign w:val="center"/>
          </w:tcPr>
          <w:p w14:paraId="3D3C05F5" w14:textId="1E2F84CE" w:rsidR="004E032C" w:rsidRDefault="004E032C" w:rsidP="00011C36">
            <w:pPr>
              <w:pStyle w:val="NoSpacing"/>
              <w:jc w:val="center"/>
              <w:rPr>
                <w:rFonts w:ascii="Calibri" w:hAnsi="Calibri"/>
              </w:rPr>
            </w:pPr>
            <w:r>
              <w:rPr>
                <w:rFonts w:ascii="Calibri" w:hAnsi="Calibri"/>
              </w:rPr>
              <w:t>89.7%</w:t>
            </w:r>
          </w:p>
        </w:tc>
        <w:tc>
          <w:tcPr>
            <w:tcW w:w="2659" w:type="dxa"/>
            <w:vAlign w:val="center"/>
          </w:tcPr>
          <w:p w14:paraId="42BD6DAF" w14:textId="27FE7855" w:rsidR="004E032C" w:rsidRDefault="004E032C" w:rsidP="00011C36">
            <w:pPr>
              <w:pStyle w:val="NoSpacing"/>
              <w:jc w:val="center"/>
              <w:rPr>
                <w:rFonts w:ascii="Calibri" w:hAnsi="Calibri"/>
              </w:rPr>
            </w:pPr>
            <w:r>
              <w:rPr>
                <w:rFonts w:ascii="Calibri" w:hAnsi="Calibri"/>
              </w:rPr>
              <w:t>10.3%</w:t>
            </w:r>
          </w:p>
        </w:tc>
      </w:tr>
      <w:tr w:rsidR="004E032C" w14:paraId="293F0495" w14:textId="77777777" w:rsidTr="00011C36">
        <w:tc>
          <w:tcPr>
            <w:tcW w:w="1525" w:type="dxa"/>
          </w:tcPr>
          <w:p w14:paraId="6F0E34A1" w14:textId="31D26609" w:rsidR="004E032C" w:rsidRDefault="004E032C" w:rsidP="00FB1A24">
            <w:pPr>
              <w:pStyle w:val="NoSpacing"/>
              <w:rPr>
                <w:rFonts w:ascii="Calibri" w:hAnsi="Calibri"/>
              </w:rPr>
            </w:pPr>
            <w:r>
              <w:rPr>
                <w:rFonts w:ascii="Calibri" w:hAnsi="Calibri"/>
              </w:rPr>
              <w:t>2017</w:t>
            </w:r>
          </w:p>
        </w:tc>
        <w:tc>
          <w:tcPr>
            <w:tcW w:w="3150" w:type="dxa"/>
            <w:vAlign w:val="center"/>
          </w:tcPr>
          <w:p w14:paraId="0F05EF57" w14:textId="31DD5770" w:rsidR="004E032C" w:rsidRDefault="004E032C" w:rsidP="00011C36">
            <w:pPr>
              <w:pStyle w:val="NoSpacing"/>
              <w:jc w:val="center"/>
              <w:rPr>
                <w:rFonts w:ascii="Calibri" w:hAnsi="Calibri"/>
              </w:rPr>
            </w:pPr>
            <w:r>
              <w:rPr>
                <w:rFonts w:ascii="Calibri" w:hAnsi="Calibri"/>
              </w:rPr>
              <w:t>343,451</w:t>
            </w:r>
          </w:p>
        </w:tc>
        <w:tc>
          <w:tcPr>
            <w:tcW w:w="2880" w:type="dxa"/>
            <w:vAlign w:val="center"/>
          </w:tcPr>
          <w:p w14:paraId="71BB9C5E" w14:textId="1F699B8C" w:rsidR="004E032C" w:rsidRDefault="004E032C" w:rsidP="00011C36">
            <w:pPr>
              <w:pStyle w:val="NoSpacing"/>
              <w:jc w:val="center"/>
              <w:rPr>
                <w:rFonts w:ascii="Calibri" w:hAnsi="Calibri"/>
              </w:rPr>
            </w:pPr>
            <w:r>
              <w:rPr>
                <w:rFonts w:ascii="Calibri" w:hAnsi="Calibri"/>
              </w:rPr>
              <w:t>91.7%</w:t>
            </w:r>
          </w:p>
        </w:tc>
        <w:tc>
          <w:tcPr>
            <w:tcW w:w="2659" w:type="dxa"/>
            <w:vAlign w:val="center"/>
          </w:tcPr>
          <w:p w14:paraId="456AB217" w14:textId="31E24D9E" w:rsidR="004E032C" w:rsidRDefault="004E032C" w:rsidP="00011C36">
            <w:pPr>
              <w:pStyle w:val="NoSpacing"/>
              <w:jc w:val="center"/>
              <w:rPr>
                <w:rFonts w:ascii="Calibri" w:hAnsi="Calibri"/>
              </w:rPr>
            </w:pPr>
            <w:r>
              <w:rPr>
                <w:rFonts w:ascii="Calibri" w:hAnsi="Calibri"/>
              </w:rPr>
              <w:t>8.3%</w:t>
            </w:r>
          </w:p>
        </w:tc>
      </w:tr>
      <w:tr w:rsidR="004E032C" w14:paraId="345AFEDC" w14:textId="77777777" w:rsidTr="00011C36">
        <w:tc>
          <w:tcPr>
            <w:tcW w:w="1525" w:type="dxa"/>
          </w:tcPr>
          <w:p w14:paraId="6AA0FAB1" w14:textId="21A77406" w:rsidR="004E032C" w:rsidRDefault="004E032C" w:rsidP="00FB1A24">
            <w:pPr>
              <w:pStyle w:val="NoSpacing"/>
              <w:rPr>
                <w:rFonts w:ascii="Calibri" w:hAnsi="Calibri"/>
              </w:rPr>
            </w:pPr>
            <w:r>
              <w:rPr>
                <w:rFonts w:ascii="Calibri" w:hAnsi="Calibri"/>
              </w:rPr>
              <w:t>2016</w:t>
            </w:r>
          </w:p>
        </w:tc>
        <w:tc>
          <w:tcPr>
            <w:tcW w:w="3150" w:type="dxa"/>
            <w:vAlign w:val="center"/>
          </w:tcPr>
          <w:p w14:paraId="3CBE4120" w14:textId="0035BCE8" w:rsidR="004E032C" w:rsidRDefault="004E032C" w:rsidP="00011C36">
            <w:pPr>
              <w:pStyle w:val="NoSpacing"/>
              <w:jc w:val="center"/>
              <w:rPr>
                <w:rFonts w:ascii="Calibri" w:hAnsi="Calibri"/>
              </w:rPr>
            </w:pPr>
            <w:r>
              <w:rPr>
                <w:rFonts w:ascii="Calibri" w:hAnsi="Calibri"/>
              </w:rPr>
              <w:t>343,141</w:t>
            </w:r>
          </w:p>
        </w:tc>
        <w:tc>
          <w:tcPr>
            <w:tcW w:w="2880" w:type="dxa"/>
            <w:vAlign w:val="center"/>
          </w:tcPr>
          <w:p w14:paraId="69D546E2" w14:textId="44DDE893" w:rsidR="004E032C" w:rsidRDefault="004E032C" w:rsidP="00011C36">
            <w:pPr>
              <w:pStyle w:val="NoSpacing"/>
              <w:jc w:val="center"/>
              <w:rPr>
                <w:rFonts w:ascii="Calibri" w:hAnsi="Calibri"/>
              </w:rPr>
            </w:pPr>
            <w:r>
              <w:rPr>
                <w:rFonts w:ascii="Calibri" w:hAnsi="Calibri"/>
              </w:rPr>
              <w:t>91.6%</w:t>
            </w:r>
          </w:p>
        </w:tc>
        <w:tc>
          <w:tcPr>
            <w:tcW w:w="2659" w:type="dxa"/>
            <w:vAlign w:val="center"/>
          </w:tcPr>
          <w:p w14:paraId="360D3946" w14:textId="6384A8D8" w:rsidR="004E032C" w:rsidRDefault="004E032C" w:rsidP="00011C36">
            <w:pPr>
              <w:pStyle w:val="NoSpacing"/>
              <w:jc w:val="center"/>
              <w:rPr>
                <w:rFonts w:ascii="Calibri" w:hAnsi="Calibri"/>
              </w:rPr>
            </w:pPr>
            <w:r>
              <w:rPr>
                <w:rFonts w:ascii="Calibri" w:hAnsi="Calibri"/>
              </w:rPr>
              <w:t>8.4%</w:t>
            </w:r>
          </w:p>
        </w:tc>
      </w:tr>
      <w:tr w:rsidR="004E032C" w14:paraId="2B63AFA0" w14:textId="77777777" w:rsidTr="00011C36">
        <w:tc>
          <w:tcPr>
            <w:tcW w:w="1525" w:type="dxa"/>
          </w:tcPr>
          <w:p w14:paraId="41F11386" w14:textId="29E6D39B" w:rsidR="004E032C" w:rsidRDefault="004E032C" w:rsidP="00FB1A24">
            <w:pPr>
              <w:pStyle w:val="NoSpacing"/>
              <w:rPr>
                <w:rFonts w:ascii="Calibri" w:hAnsi="Calibri"/>
              </w:rPr>
            </w:pPr>
            <w:r>
              <w:rPr>
                <w:rFonts w:ascii="Calibri" w:hAnsi="Calibri"/>
              </w:rPr>
              <w:t>2015</w:t>
            </w:r>
          </w:p>
        </w:tc>
        <w:tc>
          <w:tcPr>
            <w:tcW w:w="3150" w:type="dxa"/>
            <w:vAlign w:val="center"/>
          </w:tcPr>
          <w:p w14:paraId="5886DB96" w14:textId="0595E6E4" w:rsidR="004E032C" w:rsidRDefault="004E032C" w:rsidP="00011C36">
            <w:pPr>
              <w:pStyle w:val="NoSpacing"/>
              <w:jc w:val="center"/>
              <w:rPr>
                <w:rFonts w:ascii="Calibri" w:hAnsi="Calibri"/>
              </w:rPr>
            </w:pPr>
            <w:r>
              <w:rPr>
                <w:rFonts w:ascii="Calibri" w:hAnsi="Calibri"/>
              </w:rPr>
              <w:t>308,785</w:t>
            </w:r>
          </w:p>
        </w:tc>
        <w:tc>
          <w:tcPr>
            <w:tcW w:w="2880" w:type="dxa"/>
            <w:vAlign w:val="center"/>
          </w:tcPr>
          <w:p w14:paraId="48A2F683" w14:textId="7DE895B9" w:rsidR="004E032C" w:rsidRDefault="004E032C" w:rsidP="00011C36">
            <w:pPr>
              <w:pStyle w:val="NoSpacing"/>
              <w:jc w:val="center"/>
              <w:rPr>
                <w:rFonts w:ascii="Calibri" w:hAnsi="Calibri"/>
              </w:rPr>
            </w:pPr>
            <w:r>
              <w:rPr>
                <w:rFonts w:ascii="Calibri" w:hAnsi="Calibri"/>
              </w:rPr>
              <w:t>88.8%</w:t>
            </w:r>
          </w:p>
        </w:tc>
        <w:tc>
          <w:tcPr>
            <w:tcW w:w="2659" w:type="dxa"/>
            <w:vAlign w:val="center"/>
          </w:tcPr>
          <w:p w14:paraId="2ED7E472" w14:textId="455AAA87" w:rsidR="004E032C" w:rsidRDefault="004E032C" w:rsidP="00011C36">
            <w:pPr>
              <w:pStyle w:val="NoSpacing"/>
              <w:jc w:val="center"/>
              <w:rPr>
                <w:rFonts w:ascii="Calibri" w:hAnsi="Calibri"/>
              </w:rPr>
            </w:pPr>
            <w:r>
              <w:rPr>
                <w:rFonts w:ascii="Calibri" w:hAnsi="Calibri"/>
              </w:rPr>
              <w:t>11.2%</w:t>
            </w:r>
          </w:p>
        </w:tc>
      </w:tr>
      <w:tr w:rsidR="004E032C" w14:paraId="40892473" w14:textId="77777777" w:rsidTr="00011C36">
        <w:tc>
          <w:tcPr>
            <w:tcW w:w="1525" w:type="dxa"/>
          </w:tcPr>
          <w:p w14:paraId="1CD5455E" w14:textId="5654AEB8" w:rsidR="004E032C" w:rsidRDefault="004E032C" w:rsidP="00FB1A24">
            <w:pPr>
              <w:pStyle w:val="NoSpacing"/>
              <w:rPr>
                <w:rFonts w:ascii="Calibri" w:hAnsi="Calibri"/>
              </w:rPr>
            </w:pPr>
            <w:r>
              <w:rPr>
                <w:rFonts w:ascii="Calibri" w:hAnsi="Calibri"/>
              </w:rPr>
              <w:t>2014</w:t>
            </w:r>
          </w:p>
        </w:tc>
        <w:tc>
          <w:tcPr>
            <w:tcW w:w="3150" w:type="dxa"/>
            <w:vAlign w:val="center"/>
          </w:tcPr>
          <w:p w14:paraId="3CD2F3A7" w14:textId="3C328434" w:rsidR="004E032C" w:rsidRDefault="004E032C" w:rsidP="00011C36">
            <w:pPr>
              <w:pStyle w:val="NoSpacing"/>
              <w:jc w:val="center"/>
              <w:rPr>
                <w:rFonts w:ascii="Calibri" w:hAnsi="Calibri"/>
              </w:rPr>
            </w:pPr>
            <w:r>
              <w:rPr>
                <w:rFonts w:ascii="Calibri" w:hAnsi="Calibri"/>
              </w:rPr>
              <w:t>274,598</w:t>
            </w:r>
          </w:p>
        </w:tc>
        <w:tc>
          <w:tcPr>
            <w:tcW w:w="2880" w:type="dxa"/>
            <w:vAlign w:val="center"/>
          </w:tcPr>
          <w:p w14:paraId="03DA129B" w14:textId="7801F388" w:rsidR="004E032C" w:rsidRDefault="004E032C" w:rsidP="00011C36">
            <w:pPr>
              <w:pStyle w:val="NoSpacing"/>
              <w:jc w:val="center"/>
              <w:rPr>
                <w:rFonts w:ascii="Calibri" w:hAnsi="Calibri"/>
              </w:rPr>
            </w:pPr>
            <w:r>
              <w:rPr>
                <w:rFonts w:ascii="Calibri" w:hAnsi="Calibri"/>
              </w:rPr>
              <w:t>91.4%</w:t>
            </w:r>
          </w:p>
        </w:tc>
        <w:tc>
          <w:tcPr>
            <w:tcW w:w="2659" w:type="dxa"/>
            <w:vAlign w:val="center"/>
          </w:tcPr>
          <w:p w14:paraId="60087BFB" w14:textId="2F329BEF" w:rsidR="004E032C" w:rsidRDefault="004E032C" w:rsidP="00011C36">
            <w:pPr>
              <w:pStyle w:val="NoSpacing"/>
              <w:jc w:val="center"/>
              <w:rPr>
                <w:rFonts w:ascii="Calibri" w:hAnsi="Calibri"/>
              </w:rPr>
            </w:pPr>
            <w:r>
              <w:rPr>
                <w:rFonts w:ascii="Calibri" w:hAnsi="Calibri"/>
              </w:rPr>
              <w:t>8.6%</w:t>
            </w:r>
          </w:p>
        </w:tc>
      </w:tr>
      <w:tr w:rsidR="004E032C" w14:paraId="2798BAB8" w14:textId="77777777" w:rsidTr="00011C36">
        <w:tc>
          <w:tcPr>
            <w:tcW w:w="1525" w:type="dxa"/>
          </w:tcPr>
          <w:p w14:paraId="7DA7A1CA" w14:textId="3F893941" w:rsidR="004E032C" w:rsidRDefault="004E032C" w:rsidP="00FB1A24">
            <w:pPr>
              <w:pStyle w:val="NoSpacing"/>
              <w:rPr>
                <w:rFonts w:ascii="Calibri" w:hAnsi="Calibri"/>
              </w:rPr>
            </w:pPr>
            <w:r>
              <w:rPr>
                <w:rFonts w:ascii="Calibri" w:hAnsi="Calibri"/>
              </w:rPr>
              <w:t>2013</w:t>
            </w:r>
          </w:p>
        </w:tc>
        <w:tc>
          <w:tcPr>
            <w:tcW w:w="3150" w:type="dxa"/>
            <w:vAlign w:val="center"/>
          </w:tcPr>
          <w:p w14:paraId="22F6BFBD" w14:textId="7F36976C" w:rsidR="004E032C" w:rsidRDefault="004E032C" w:rsidP="00011C36">
            <w:pPr>
              <w:pStyle w:val="NoSpacing"/>
              <w:jc w:val="center"/>
              <w:rPr>
                <w:rFonts w:ascii="Calibri" w:hAnsi="Calibri"/>
              </w:rPr>
            </w:pPr>
            <w:r>
              <w:rPr>
                <w:rFonts w:ascii="Calibri" w:hAnsi="Calibri"/>
              </w:rPr>
              <w:t>7,805</w:t>
            </w:r>
          </w:p>
        </w:tc>
        <w:tc>
          <w:tcPr>
            <w:tcW w:w="2880" w:type="dxa"/>
            <w:vAlign w:val="center"/>
          </w:tcPr>
          <w:p w14:paraId="6F268B27" w14:textId="6E70C9FD" w:rsidR="004E032C" w:rsidRDefault="004E032C" w:rsidP="00011C36">
            <w:pPr>
              <w:pStyle w:val="NoSpacing"/>
              <w:jc w:val="center"/>
              <w:rPr>
                <w:rFonts w:ascii="Calibri" w:hAnsi="Calibri"/>
              </w:rPr>
            </w:pPr>
            <w:r>
              <w:rPr>
                <w:rFonts w:ascii="Calibri" w:hAnsi="Calibri"/>
              </w:rPr>
              <w:t>84.3%</w:t>
            </w:r>
          </w:p>
        </w:tc>
        <w:tc>
          <w:tcPr>
            <w:tcW w:w="2659" w:type="dxa"/>
            <w:vAlign w:val="center"/>
          </w:tcPr>
          <w:p w14:paraId="34B53AAC" w14:textId="0D3DB804" w:rsidR="004E032C" w:rsidRDefault="004E032C" w:rsidP="00011C36">
            <w:pPr>
              <w:pStyle w:val="NoSpacing"/>
              <w:jc w:val="center"/>
              <w:rPr>
                <w:rFonts w:ascii="Calibri" w:hAnsi="Calibri"/>
              </w:rPr>
            </w:pPr>
            <w:r>
              <w:rPr>
                <w:rFonts w:ascii="Calibri" w:hAnsi="Calibri"/>
              </w:rPr>
              <w:t>15.7%</w:t>
            </w:r>
          </w:p>
        </w:tc>
      </w:tr>
      <w:tr w:rsidR="00E831B2" w14:paraId="607DF186" w14:textId="77777777" w:rsidTr="00BB65D7">
        <w:tc>
          <w:tcPr>
            <w:tcW w:w="10214" w:type="dxa"/>
            <w:gridSpan w:val="4"/>
          </w:tcPr>
          <w:p w14:paraId="44AA9E0B" w14:textId="344A24B1" w:rsidR="00E831B2" w:rsidRPr="00E831B2" w:rsidRDefault="00E831B2" w:rsidP="00011C36">
            <w:pPr>
              <w:pStyle w:val="NoSpacing"/>
              <w:jc w:val="center"/>
              <w:rPr>
                <w:rFonts w:ascii="Calibri" w:hAnsi="Calibri"/>
                <w:i/>
                <w:iCs/>
                <w:sz w:val="16"/>
                <w:szCs w:val="16"/>
              </w:rPr>
            </w:pPr>
            <w:r w:rsidRPr="00E831B2">
              <w:rPr>
                <w:rFonts w:ascii="Calibri" w:hAnsi="Calibri"/>
                <w:i/>
                <w:iCs/>
                <w:sz w:val="16"/>
                <w:szCs w:val="16"/>
              </w:rPr>
              <w:t>Source: State of California Department of Industrial Relations &amp; Division of Workers’ Compensation: 2022 Independent Medical Review (IMR) Report: Analysis of 2021 Data (</w:t>
            </w:r>
            <w:hyperlink r:id="rId29" w:history="1">
              <w:r w:rsidRPr="00E831B2">
                <w:rPr>
                  <w:rStyle w:val="Hyperlink"/>
                  <w:rFonts w:ascii="Calibri" w:hAnsi="Calibri"/>
                  <w:i/>
                  <w:iCs/>
                  <w:sz w:val="16"/>
                  <w:szCs w:val="16"/>
                </w:rPr>
                <w:t>LINK</w:t>
              </w:r>
            </w:hyperlink>
            <w:r w:rsidRPr="00E831B2">
              <w:rPr>
                <w:rFonts w:ascii="Calibri" w:hAnsi="Calibri"/>
                <w:i/>
                <w:iCs/>
                <w:sz w:val="16"/>
                <w:szCs w:val="16"/>
              </w:rPr>
              <w:t>)</w:t>
            </w:r>
          </w:p>
        </w:tc>
      </w:tr>
    </w:tbl>
    <w:p w14:paraId="488A05AB" w14:textId="57B050CC" w:rsidR="00FB1A24" w:rsidRDefault="00FB1A24" w:rsidP="00FB1A24">
      <w:pPr>
        <w:pStyle w:val="NoSpacing"/>
        <w:rPr>
          <w:rFonts w:ascii="Calibri" w:hAnsi="Calibri"/>
        </w:rPr>
      </w:pPr>
    </w:p>
    <w:p w14:paraId="42647A39" w14:textId="35F5B223" w:rsidR="006814ED" w:rsidRPr="0070783F" w:rsidRDefault="00011C36" w:rsidP="00FB1A24">
      <w:pPr>
        <w:pStyle w:val="NoSpacing"/>
      </w:pPr>
      <w:r>
        <w:t xml:space="preserve">The data contained in the chart above is unimpeachable and clear. IMR is overutilized and </w:t>
      </w:r>
      <w:r w:rsidRPr="00011C36">
        <w:rPr>
          <w:u w:val="single"/>
        </w:rPr>
        <w:t>that</w:t>
      </w:r>
      <w:r>
        <w:t xml:space="preserve"> is where the delay occurs for injured workers. If the legislature wants to meaningfully reduce delays</w:t>
      </w:r>
      <w:r w:rsidR="00E831B2">
        <w:t>,</w:t>
      </w:r>
      <w:r>
        <w:t xml:space="preserve"> then they should focus on the overuse of IMR by attorneys and physicians. </w:t>
      </w:r>
      <w:r w:rsidR="00436762">
        <w:t xml:space="preserve">In </w:t>
      </w:r>
      <w:r>
        <w:t>2021, which</w:t>
      </w:r>
      <w:r w:rsidR="00436762">
        <w:t xml:space="preserve"> </w:t>
      </w:r>
      <w:r>
        <w:t xml:space="preserve">is the most recent year for which </w:t>
      </w:r>
      <w:r w:rsidR="00436762">
        <w:t xml:space="preserve">IMR </w:t>
      </w:r>
      <w:r>
        <w:t xml:space="preserve">data is available, there </w:t>
      </w:r>
      <w:r w:rsidR="00E831B2">
        <w:t>was</w:t>
      </w:r>
      <w:r>
        <w:t xml:space="preserve"> a total of 264,196 requests for IMR</w:t>
      </w:r>
      <w:r w:rsidR="00F91E5A">
        <w:t xml:space="preserve">. An incredible </w:t>
      </w:r>
      <w:r>
        <w:t>245,173</w:t>
      </w:r>
      <w:r w:rsidR="00F91E5A">
        <w:t xml:space="preserve"> out of the 264,196 reviews upheld the UR decision that had been challenged, and only 19,023 reviews overturned the IMR decision. If </w:t>
      </w:r>
      <w:r w:rsidR="00436762">
        <w:t xml:space="preserve">mitigating </w:t>
      </w:r>
      <w:r w:rsidR="00F91E5A">
        <w:t>unreasonable delay is the issue, then the data clearly shows that ten times as many injured workers are experiencing delays because of an overuse of IMR. The Utilization Review process is not perfect, but it is consistently providing strong results for the system and the data</w:t>
      </w:r>
      <w:r w:rsidR="00FF1939">
        <w:t xml:space="preserve"> shows clearly </w:t>
      </w:r>
      <w:r w:rsidR="00F91E5A">
        <w:t xml:space="preserve">that UR is not the cause of delays. </w:t>
      </w:r>
    </w:p>
    <w:p w14:paraId="5E39C4AA" w14:textId="77777777" w:rsidR="006814ED" w:rsidRPr="0070783F" w:rsidRDefault="006814ED" w:rsidP="006814ED">
      <w:pPr>
        <w:pStyle w:val="NoSpacing"/>
      </w:pPr>
    </w:p>
    <w:p w14:paraId="693AA68A" w14:textId="1B1EF5A5" w:rsidR="00547FE9" w:rsidRPr="0070783F" w:rsidRDefault="003F06E6" w:rsidP="003F06E6">
      <w:pPr>
        <w:pStyle w:val="NoSpacing"/>
      </w:pPr>
      <w:r>
        <w:t>Data continues to suggest that a</w:t>
      </w:r>
      <w:r w:rsidR="00547FE9">
        <w:t xml:space="preserve"> small number of physicians </w:t>
      </w:r>
      <w:r w:rsidR="2B7A2AFB">
        <w:t xml:space="preserve">are </w:t>
      </w:r>
      <w:r w:rsidR="00547FE9">
        <w:t>driv</w:t>
      </w:r>
      <w:r>
        <w:t>ing this</w:t>
      </w:r>
      <w:r w:rsidR="00547FE9">
        <w:t xml:space="preserve"> high volume of IMR requests</w:t>
      </w:r>
      <w:r>
        <w:t xml:space="preserve"> and therefore causing delays for injured workers</w:t>
      </w:r>
      <w:r w:rsidR="00547FE9">
        <w:t xml:space="preserve">. </w:t>
      </w:r>
      <w:r>
        <w:t>A 2021 Research Update from the California Workers’ Compensation Institute found that</w:t>
      </w:r>
      <w:r w:rsidR="00547FE9">
        <w:t xml:space="preserve"> 1% of </w:t>
      </w:r>
      <w:r>
        <w:t xml:space="preserve">requesting </w:t>
      </w:r>
      <w:r w:rsidR="00547FE9">
        <w:t>physicians</w:t>
      </w:r>
      <w:r>
        <w:t xml:space="preserve"> (89 doctors)</w:t>
      </w:r>
      <w:r w:rsidR="00547FE9">
        <w:t xml:space="preserve"> account for </w:t>
      </w:r>
      <w:r>
        <w:t>39.</w:t>
      </w:r>
      <w:r w:rsidR="00632BB3">
        <w:t>9</w:t>
      </w:r>
      <w:r>
        <w:t xml:space="preserve">% </w:t>
      </w:r>
      <w:r w:rsidR="006814ED">
        <w:t>of disputed treatment requests. Just ten</w:t>
      </w:r>
      <w:r w:rsidR="00CB1D2F">
        <w:t xml:space="preserve"> individual</w:t>
      </w:r>
      <w:r w:rsidR="006814ED">
        <w:t xml:space="preserve"> providers account for 11% of the disputed treatment requests. The report also notes that the same providers continue to be a problem year over year. </w:t>
      </w:r>
    </w:p>
    <w:p w14:paraId="1417CA03" w14:textId="77777777" w:rsidR="0070783F" w:rsidRDefault="0070783F" w:rsidP="006814ED">
      <w:pPr>
        <w:pStyle w:val="NoSpacing"/>
      </w:pPr>
    </w:p>
    <w:p w14:paraId="715F7D32" w14:textId="55A325A3" w:rsidR="00547FE9" w:rsidRDefault="00CB1D2F" w:rsidP="00547FE9">
      <w:pPr>
        <w:pStyle w:val="NoSpacing"/>
      </w:pPr>
      <w:r>
        <w:lastRenderedPageBreak/>
        <w:t>Again, we understand why the legislature would want to act if there was a problem related to utilization review and causing delays for injured workers on temporary disability.</w:t>
      </w:r>
      <w:r w:rsidR="00C0722F">
        <w:t xml:space="preserve"> That is not what the data shows.</w:t>
      </w:r>
      <w:r>
        <w:t xml:space="preserve"> There is, however, a decade’s worth of data </w:t>
      </w:r>
      <w:r w:rsidR="00121B2B">
        <w:t>clearly demonstrating</w:t>
      </w:r>
      <w:r>
        <w:t xml:space="preserve"> substantial delays for injured workers </w:t>
      </w:r>
      <w:r w:rsidR="00121B2B">
        <w:t xml:space="preserve">resulting from the overuse of IMR </w:t>
      </w:r>
      <w:r w:rsidR="00150A2F">
        <w:t xml:space="preserve">caused </w:t>
      </w:r>
      <w:r w:rsidR="00121B2B">
        <w:t>by providers</w:t>
      </w:r>
      <w:r w:rsidR="00150A2F">
        <w:t xml:space="preserve"> continuing to prescribe treatment that is outside of established medical evidence</w:t>
      </w:r>
      <w:r w:rsidR="00121B2B">
        <w:t xml:space="preserve"> and attorneys</w:t>
      </w:r>
      <w:r w:rsidR="00150A2F">
        <w:t xml:space="preserve"> who have a business model of overusing IMR</w:t>
      </w:r>
      <w:r w:rsidR="00121B2B">
        <w:t xml:space="preserve">. </w:t>
      </w:r>
      <w:r>
        <w:t xml:space="preserve"> </w:t>
      </w:r>
    </w:p>
    <w:p w14:paraId="6936E505" w14:textId="77777777" w:rsidR="00CB1D2F" w:rsidRPr="0070783F" w:rsidRDefault="00CB1D2F" w:rsidP="00547FE9">
      <w:pPr>
        <w:pStyle w:val="NoSpacing"/>
      </w:pPr>
    </w:p>
    <w:p w14:paraId="601A7403" w14:textId="17E40697" w:rsidR="005908AF" w:rsidRDefault="00CB1D2F" w:rsidP="4380A1F5">
      <w:pPr>
        <w:pStyle w:val="NoSpacing"/>
        <w:rPr>
          <w:b/>
          <w:bCs/>
          <w:u w:val="single"/>
        </w:rPr>
      </w:pPr>
      <w:r w:rsidRPr="4380A1F5">
        <w:rPr>
          <w:b/>
          <w:bCs/>
          <w:u w:val="single"/>
        </w:rPr>
        <w:t>RECORD-KEEPING NIGHTMARE</w:t>
      </w:r>
    </w:p>
    <w:p w14:paraId="71E187DB" w14:textId="28198C32" w:rsidR="0070783F" w:rsidRDefault="00E22975" w:rsidP="0070783F">
      <w:pPr>
        <w:pStyle w:val="NoSpacing"/>
      </w:pPr>
      <w:r>
        <w:t xml:space="preserve">California’s workers’ compensation system is known for its complexity, and claims administrators are responsible for collecting, processing, and appropriately accounting for vast amounts of factual, medical, and other pieces of information in the execution of their duties. There are complex systems of accountability and oversight of claims administrators by state regulators, attorneys representing injured workers, and the workers’ compensation appeals board. </w:t>
      </w:r>
    </w:p>
    <w:p w14:paraId="77242D08" w14:textId="41E08810" w:rsidR="00E22975" w:rsidRDefault="00E22975" w:rsidP="0070783F">
      <w:pPr>
        <w:pStyle w:val="NoSpacing"/>
      </w:pPr>
    </w:p>
    <w:p w14:paraId="5DD0A6E7" w14:textId="7CC2EB2C" w:rsidR="00E22975" w:rsidRDefault="00E22975" w:rsidP="0070783F">
      <w:pPr>
        <w:pStyle w:val="NoSpacing"/>
      </w:pPr>
      <w:r>
        <w:t>The requirements of AB 1213</w:t>
      </w:r>
      <w:r w:rsidR="00C028F6">
        <w:t xml:space="preserve"> </w:t>
      </w:r>
      <w:r>
        <w:t xml:space="preserve">would represent a substantial new complication in the administration of claims. </w:t>
      </w:r>
      <w:r w:rsidR="00BE15EB">
        <w:t xml:space="preserve">Claims administrators would be charged with retroactively determining which benefits paid to an injured worker belonged inside versus outside of the statutory cap, which will lead to disputes and litigation related to the pursuit of penalties. </w:t>
      </w:r>
    </w:p>
    <w:p w14:paraId="5AC1B951" w14:textId="54EF3184" w:rsidR="00BE15EB" w:rsidRDefault="00BE15EB" w:rsidP="0070783F">
      <w:pPr>
        <w:pStyle w:val="NoSpacing"/>
      </w:pPr>
    </w:p>
    <w:p w14:paraId="774B6DAA" w14:textId="271BF082" w:rsidR="00BE15EB" w:rsidRDefault="00BE15EB" w:rsidP="0070783F">
      <w:pPr>
        <w:pStyle w:val="NoSpacing"/>
      </w:pPr>
      <w:r>
        <w:t xml:space="preserve">Injured workers are having their benefits wasted with needless disputes, but the data shows clearly that it isn’t UR decisions driving that delay. It is the continued flow of time consuming and expensive IMR disputes that uphold UR decisions at a consistently high rate. For these reasons and more, the undersigned organizations must oppose AB 1213. </w:t>
      </w:r>
    </w:p>
    <w:p w14:paraId="6A7BB094" w14:textId="26321C8C" w:rsidR="00BE15EB" w:rsidRDefault="00BE15EB" w:rsidP="0070783F">
      <w:pPr>
        <w:pStyle w:val="NoSpacing"/>
      </w:pPr>
    </w:p>
    <w:p w14:paraId="6B7DE738" w14:textId="324AD948" w:rsidR="00BE15EB" w:rsidRDefault="00BE15EB" w:rsidP="0070783F">
      <w:pPr>
        <w:pStyle w:val="NoSpacing"/>
      </w:pPr>
      <w:r>
        <w:t xml:space="preserve">Sincerely, </w:t>
      </w:r>
    </w:p>
    <w:p w14:paraId="7C7E6775" w14:textId="1853FE93" w:rsidR="00BE15EB" w:rsidRDefault="00BE15EB" w:rsidP="0070783F">
      <w:pPr>
        <w:pStyle w:val="NoSpacing"/>
      </w:pPr>
    </w:p>
    <w:p w14:paraId="1961ED4D" w14:textId="19E2C690" w:rsidR="00313981" w:rsidRPr="00313981" w:rsidRDefault="00313981" w:rsidP="00720653">
      <w:r w:rsidRPr="00313981">
        <w:t xml:space="preserve">Acclamation Insurance Management Services </w:t>
      </w:r>
    </w:p>
    <w:p w14:paraId="5CD9710C" w14:textId="57EC46C3" w:rsidR="00313981" w:rsidRPr="00313981" w:rsidRDefault="00313981" w:rsidP="00720653">
      <w:r w:rsidRPr="00313981">
        <w:t xml:space="preserve">Allied Managed Care </w:t>
      </w:r>
    </w:p>
    <w:p w14:paraId="1CD2BD8A" w14:textId="1A68FC7A" w:rsidR="00313981" w:rsidRDefault="00313981" w:rsidP="00720653">
      <w:pPr>
        <w:pStyle w:val="NoSpacing"/>
      </w:pPr>
      <w:r>
        <w:t>America</w:t>
      </w:r>
      <w:r w:rsidR="00FD64FD">
        <w:t>n</w:t>
      </w:r>
      <w:r>
        <w:t xml:space="preserve"> Property Casualty Insurance Association</w:t>
      </w:r>
    </w:p>
    <w:p w14:paraId="7D667D9A" w14:textId="7BF38A03" w:rsidR="007658B9" w:rsidRDefault="007658B9" w:rsidP="00720653">
      <w:pPr>
        <w:pStyle w:val="NoSpacing"/>
      </w:pPr>
      <w:r>
        <w:t>Association of California Healthcare Districts</w:t>
      </w:r>
    </w:p>
    <w:p w14:paraId="7E4790CE" w14:textId="6BCD3D9F" w:rsidR="00E5731F" w:rsidRDefault="00E5731F" w:rsidP="00720653">
      <w:pPr>
        <w:pStyle w:val="NoSpacing"/>
      </w:pPr>
      <w:r>
        <w:t>Association of Claims Professionals</w:t>
      </w:r>
    </w:p>
    <w:p w14:paraId="5BBE2B5A" w14:textId="77777777" w:rsidR="00313981" w:rsidRPr="00720653" w:rsidRDefault="00313981" w:rsidP="00720653">
      <w:pPr>
        <w:rPr>
          <w:rFonts w:eastAsia="Times New Roman"/>
          <w:color w:val="000000"/>
        </w:rPr>
      </w:pPr>
      <w:r w:rsidRPr="00720653">
        <w:rPr>
          <w:rFonts w:eastAsia="Times New Roman"/>
          <w:color w:val="000000"/>
        </w:rPr>
        <w:t>California Association for Health Services at Home</w:t>
      </w:r>
    </w:p>
    <w:p w14:paraId="15208961" w14:textId="6E2AA2F4" w:rsidR="00E03593" w:rsidRPr="00720653" w:rsidRDefault="00E03593" w:rsidP="00720653">
      <w:pPr>
        <w:rPr>
          <w:rFonts w:eastAsia="Times New Roman"/>
          <w:color w:val="000000"/>
        </w:rPr>
      </w:pPr>
      <w:r w:rsidRPr="00720653">
        <w:rPr>
          <w:rFonts w:eastAsia="Times New Roman"/>
          <w:color w:val="000000"/>
        </w:rPr>
        <w:t>California Association of Joint Powers Authorities</w:t>
      </w:r>
    </w:p>
    <w:p w14:paraId="4632B63E" w14:textId="77777777" w:rsidR="008261D6" w:rsidRDefault="008261D6" w:rsidP="008261D6">
      <w:pPr>
        <w:pStyle w:val="NoSpacing"/>
      </w:pPr>
      <w:r>
        <w:t>California Attractions and Parks Association</w:t>
      </w:r>
    </w:p>
    <w:p w14:paraId="2991FBD4" w14:textId="77777777" w:rsidR="00313981" w:rsidRDefault="00313981" w:rsidP="00720653">
      <w:pPr>
        <w:pStyle w:val="NoSpacing"/>
      </w:pPr>
      <w:r>
        <w:t>California Chamber of Commerce</w:t>
      </w:r>
    </w:p>
    <w:p w14:paraId="6076CF94" w14:textId="77777777" w:rsidR="00313981" w:rsidRDefault="00313981" w:rsidP="00720653">
      <w:pPr>
        <w:pStyle w:val="NoSpacing"/>
      </w:pPr>
      <w:r>
        <w:t>California Coalition on Workers’ Compensation</w:t>
      </w:r>
    </w:p>
    <w:p w14:paraId="7F7282F2" w14:textId="29D096BE" w:rsidR="00F4319B" w:rsidRDefault="00020BDF" w:rsidP="00720653">
      <w:pPr>
        <w:pStyle w:val="NoSpacing"/>
      </w:pPr>
      <w:r>
        <w:t>California</w:t>
      </w:r>
      <w:r w:rsidR="00F4319B">
        <w:t xml:space="preserve"> Hotel </w:t>
      </w:r>
      <w:r>
        <w:t xml:space="preserve">&amp; Lodging Association </w:t>
      </w:r>
    </w:p>
    <w:p w14:paraId="587EC45A" w14:textId="3AF77C36" w:rsidR="00327B14" w:rsidRDefault="00327B14" w:rsidP="00720653">
      <w:pPr>
        <w:pStyle w:val="NoSpacing"/>
      </w:pPr>
      <w:r>
        <w:t>California League of Food Producers</w:t>
      </w:r>
    </w:p>
    <w:p w14:paraId="0E6C7AFA" w14:textId="2A71F33C" w:rsidR="00A31ABA" w:rsidRDefault="00A31ABA" w:rsidP="00720653">
      <w:pPr>
        <w:pStyle w:val="NoSpacing"/>
      </w:pPr>
      <w:r>
        <w:t xml:space="preserve">California Special Districts Association </w:t>
      </w:r>
    </w:p>
    <w:p w14:paraId="0AE20E38" w14:textId="143EE8F8" w:rsidR="003600C9" w:rsidRDefault="003600C9" w:rsidP="00720653">
      <w:pPr>
        <w:pStyle w:val="NoSpacing"/>
      </w:pPr>
      <w:r>
        <w:t>California State Association of Counties</w:t>
      </w:r>
    </w:p>
    <w:p w14:paraId="49063941" w14:textId="77777777" w:rsidR="00313981" w:rsidRPr="00313981" w:rsidRDefault="00313981" w:rsidP="00720653">
      <w:r w:rsidRPr="00313981">
        <w:t>Coalition of Small and Disabled Veteran Businesses</w:t>
      </w:r>
    </w:p>
    <w:p w14:paraId="0ECF6050" w14:textId="52EE292B" w:rsidR="00313981" w:rsidRDefault="00313981" w:rsidP="00720653">
      <w:r w:rsidRPr="00313981">
        <w:t xml:space="preserve">Flasher Barricade Association </w:t>
      </w:r>
    </w:p>
    <w:p w14:paraId="24F62A49" w14:textId="2A3F3C45" w:rsidR="00020BDF" w:rsidRPr="00313981" w:rsidRDefault="00020BDF" w:rsidP="00720653">
      <w:r>
        <w:t>Independent Lodging Industry Association</w:t>
      </w:r>
    </w:p>
    <w:p w14:paraId="5A3B7094" w14:textId="3251525C" w:rsidR="00196F72" w:rsidRDefault="00196F72" w:rsidP="00720653">
      <w:r>
        <w:t xml:space="preserve">League of California Cities </w:t>
      </w:r>
    </w:p>
    <w:p w14:paraId="75721909" w14:textId="77777777" w:rsidR="005718B5" w:rsidRPr="00313981" w:rsidRDefault="005718B5" w:rsidP="00720653">
      <w:r>
        <w:t>Public Risk Innovation, Solutions, and Management</w:t>
      </w:r>
    </w:p>
    <w:p w14:paraId="4C5E66F4" w14:textId="5C598633" w:rsidR="00FB7B18" w:rsidRDefault="00313981" w:rsidP="0070783F">
      <w:pPr>
        <w:pStyle w:val="NoSpacing"/>
      </w:pPr>
      <w:r>
        <w:t xml:space="preserve">Western Electrical Contractors Association </w:t>
      </w:r>
    </w:p>
    <w:sectPr w:rsidR="00FB7B18" w:rsidSect="00FB1A24">
      <w:headerReference w:type="even" r:id="rId30"/>
      <w:headerReference w:type="default" r:id="rId31"/>
      <w:head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F0604" w14:textId="77777777" w:rsidR="002E74F1" w:rsidRDefault="002E74F1" w:rsidP="00FE10DA">
      <w:r>
        <w:separator/>
      </w:r>
    </w:p>
  </w:endnote>
  <w:endnote w:type="continuationSeparator" w:id="0">
    <w:p w14:paraId="030817C3" w14:textId="77777777" w:rsidR="002E74F1" w:rsidRDefault="002E74F1" w:rsidP="00FE10DA">
      <w:r>
        <w:continuationSeparator/>
      </w:r>
    </w:p>
  </w:endnote>
  <w:endnote w:type="continuationNotice" w:id="1">
    <w:p w14:paraId="3806A533" w14:textId="77777777" w:rsidR="002E74F1" w:rsidRDefault="002E7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38361" w14:textId="77777777" w:rsidR="002E74F1" w:rsidRDefault="002E74F1" w:rsidP="00FE10DA">
      <w:r>
        <w:separator/>
      </w:r>
    </w:p>
  </w:footnote>
  <w:footnote w:type="continuationSeparator" w:id="0">
    <w:p w14:paraId="7F48C725" w14:textId="77777777" w:rsidR="002E74F1" w:rsidRDefault="002E74F1" w:rsidP="00FE10DA">
      <w:r>
        <w:continuationSeparator/>
      </w:r>
    </w:p>
  </w:footnote>
  <w:footnote w:type="continuationNotice" w:id="1">
    <w:p w14:paraId="55FAC508" w14:textId="77777777" w:rsidR="002E74F1" w:rsidRDefault="002E7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154B" w14:textId="3542FA5F" w:rsidR="00FE10DA" w:rsidRDefault="00FE1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3C21" w14:textId="658BCC2D" w:rsidR="00FE10DA" w:rsidRDefault="00FE1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025F" w14:textId="52AC40E9" w:rsidR="00FE10DA" w:rsidRDefault="00FE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310F5"/>
    <w:multiLevelType w:val="hybridMultilevel"/>
    <w:tmpl w:val="B0B0F878"/>
    <w:lvl w:ilvl="0" w:tplc="19CE653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0507D"/>
    <w:multiLevelType w:val="hybridMultilevel"/>
    <w:tmpl w:val="87CC1138"/>
    <w:lvl w:ilvl="0" w:tplc="118691A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B2DCC"/>
    <w:multiLevelType w:val="hybridMultilevel"/>
    <w:tmpl w:val="30B4E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85226"/>
    <w:multiLevelType w:val="hybridMultilevel"/>
    <w:tmpl w:val="5F5A5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1253890"/>
    <w:multiLevelType w:val="hybridMultilevel"/>
    <w:tmpl w:val="87403E6C"/>
    <w:lvl w:ilvl="0" w:tplc="2AE4C92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B81180"/>
    <w:multiLevelType w:val="hybridMultilevel"/>
    <w:tmpl w:val="A30A3B4E"/>
    <w:lvl w:ilvl="0" w:tplc="947AB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9D2B7C"/>
    <w:multiLevelType w:val="hybridMultilevel"/>
    <w:tmpl w:val="E1FC3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B249AD"/>
    <w:multiLevelType w:val="hybridMultilevel"/>
    <w:tmpl w:val="9792276E"/>
    <w:lvl w:ilvl="0" w:tplc="9650EFF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147687">
    <w:abstractNumId w:val="5"/>
  </w:num>
  <w:num w:numId="2" w16cid:durableId="1674069157">
    <w:abstractNumId w:val="1"/>
  </w:num>
  <w:num w:numId="3" w16cid:durableId="1395737383">
    <w:abstractNumId w:val="7"/>
  </w:num>
  <w:num w:numId="4" w16cid:durableId="619216685">
    <w:abstractNumId w:val="0"/>
  </w:num>
  <w:num w:numId="5" w16cid:durableId="1039933665">
    <w:abstractNumId w:val="4"/>
  </w:num>
  <w:num w:numId="6" w16cid:durableId="2130707372">
    <w:abstractNumId w:val="3"/>
  </w:num>
  <w:num w:numId="7" w16cid:durableId="913899867">
    <w:abstractNumId w:val="2"/>
  </w:num>
  <w:num w:numId="8" w16cid:durableId="472522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1BF"/>
    <w:rsid w:val="00011C36"/>
    <w:rsid w:val="00020BDF"/>
    <w:rsid w:val="0002612A"/>
    <w:rsid w:val="000330E5"/>
    <w:rsid w:val="00033511"/>
    <w:rsid w:val="000B0478"/>
    <w:rsid w:val="000F177B"/>
    <w:rsid w:val="00102B88"/>
    <w:rsid w:val="00121B2B"/>
    <w:rsid w:val="001359A4"/>
    <w:rsid w:val="00150A2F"/>
    <w:rsid w:val="00151568"/>
    <w:rsid w:val="00162BAB"/>
    <w:rsid w:val="00192883"/>
    <w:rsid w:val="00193A4A"/>
    <w:rsid w:val="00196F72"/>
    <w:rsid w:val="001C5249"/>
    <w:rsid w:val="001D0DBD"/>
    <w:rsid w:val="001D19F8"/>
    <w:rsid w:val="001D51E4"/>
    <w:rsid w:val="00211702"/>
    <w:rsid w:val="00213986"/>
    <w:rsid w:val="00223101"/>
    <w:rsid w:val="00224933"/>
    <w:rsid w:val="00231CC1"/>
    <w:rsid w:val="00237A10"/>
    <w:rsid w:val="00286A63"/>
    <w:rsid w:val="00287B28"/>
    <w:rsid w:val="002B37D6"/>
    <w:rsid w:val="002C166E"/>
    <w:rsid w:val="002C2AF0"/>
    <w:rsid w:val="002D4D0F"/>
    <w:rsid w:val="002E5746"/>
    <w:rsid w:val="002E74F1"/>
    <w:rsid w:val="002F2FE7"/>
    <w:rsid w:val="002F4983"/>
    <w:rsid w:val="002F5C9F"/>
    <w:rsid w:val="002F7BF5"/>
    <w:rsid w:val="00313981"/>
    <w:rsid w:val="00327B14"/>
    <w:rsid w:val="0034413E"/>
    <w:rsid w:val="003600C9"/>
    <w:rsid w:val="00360496"/>
    <w:rsid w:val="00363A6D"/>
    <w:rsid w:val="00382769"/>
    <w:rsid w:val="003D62EA"/>
    <w:rsid w:val="003F06E6"/>
    <w:rsid w:val="004047DB"/>
    <w:rsid w:val="00436762"/>
    <w:rsid w:val="0045346D"/>
    <w:rsid w:val="00495F05"/>
    <w:rsid w:val="004A1C04"/>
    <w:rsid w:val="004A28FF"/>
    <w:rsid w:val="004A4238"/>
    <w:rsid w:val="004B292E"/>
    <w:rsid w:val="004C5B48"/>
    <w:rsid w:val="004E032C"/>
    <w:rsid w:val="004E776E"/>
    <w:rsid w:val="005426AB"/>
    <w:rsid w:val="00547B05"/>
    <w:rsid w:val="00547FE9"/>
    <w:rsid w:val="005633F8"/>
    <w:rsid w:val="00565010"/>
    <w:rsid w:val="005718B5"/>
    <w:rsid w:val="00576131"/>
    <w:rsid w:val="005908AF"/>
    <w:rsid w:val="005B6DE3"/>
    <w:rsid w:val="005C18A0"/>
    <w:rsid w:val="005C4D37"/>
    <w:rsid w:val="005CB7EB"/>
    <w:rsid w:val="005F76C8"/>
    <w:rsid w:val="005F7DEB"/>
    <w:rsid w:val="00603A6D"/>
    <w:rsid w:val="00606F4A"/>
    <w:rsid w:val="00623794"/>
    <w:rsid w:val="006265AD"/>
    <w:rsid w:val="00632BB3"/>
    <w:rsid w:val="00677AEB"/>
    <w:rsid w:val="006814ED"/>
    <w:rsid w:val="00692D0A"/>
    <w:rsid w:val="006978CE"/>
    <w:rsid w:val="006A5DEF"/>
    <w:rsid w:val="006B182B"/>
    <w:rsid w:val="006B758E"/>
    <w:rsid w:val="006C5BFA"/>
    <w:rsid w:val="00703135"/>
    <w:rsid w:val="00703A06"/>
    <w:rsid w:val="0070783F"/>
    <w:rsid w:val="00707D33"/>
    <w:rsid w:val="00707EB0"/>
    <w:rsid w:val="00711A06"/>
    <w:rsid w:val="00720653"/>
    <w:rsid w:val="007211BD"/>
    <w:rsid w:val="007256A2"/>
    <w:rsid w:val="0076416F"/>
    <w:rsid w:val="007658B9"/>
    <w:rsid w:val="00765D6A"/>
    <w:rsid w:val="00775555"/>
    <w:rsid w:val="007B2DC8"/>
    <w:rsid w:val="008120AB"/>
    <w:rsid w:val="008203DE"/>
    <w:rsid w:val="008261D6"/>
    <w:rsid w:val="00870C0A"/>
    <w:rsid w:val="008A1716"/>
    <w:rsid w:val="008D2E58"/>
    <w:rsid w:val="008F751E"/>
    <w:rsid w:val="008F75ED"/>
    <w:rsid w:val="00903BDA"/>
    <w:rsid w:val="00904B81"/>
    <w:rsid w:val="009448DE"/>
    <w:rsid w:val="00951D97"/>
    <w:rsid w:val="00952669"/>
    <w:rsid w:val="0097343A"/>
    <w:rsid w:val="00982282"/>
    <w:rsid w:val="00983936"/>
    <w:rsid w:val="00994376"/>
    <w:rsid w:val="009B002F"/>
    <w:rsid w:val="009B3226"/>
    <w:rsid w:val="009F407C"/>
    <w:rsid w:val="00A31ABA"/>
    <w:rsid w:val="00A612FA"/>
    <w:rsid w:val="00AA57F3"/>
    <w:rsid w:val="00AC6E30"/>
    <w:rsid w:val="00AE5F26"/>
    <w:rsid w:val="00B4474B"/>
    <w:rsid w:val="00B52FF5"/>
    <w:rsid w:val="00B91FB5"/>
    <w:rsid w:val="00BA14AD"/>
    <w:rsid w:val="00BB65D7"/>
    <w:rsid w:val="00BD0889"/>
    <w:rsid w:val="00BD3498"/>
    <w:rsid w:val="00BE15EB"/>
    <w:rsid w:val="00C028F6"/>
    <w:rsid w:val="00C0722F"/>
    <w:rsid w:val="00C30C1B"/>
    <w:rsid w:val="00C63042"/>
    <w:rsid w:val="00C67D22"/>
    <w:rsid w:val="00C90086"/>
    <w:rsid w:val="00CB1D2F"/>
    <w:rsid w:val="00CD6781"/>
    <w:rsid w:val="00CE4519"/>
    <w:rsid w:val="00CF619F"/>
    <w:rsid w:val="00D065D4"/>
    <w:rsid w:val="00D06D86"/>
    <w:rsid w:val="00D135B5"/>
    <w:rsid w:val="00D50246"/>
    <w:rsid w:val="00D820D4"/>
    <w:rsid w:val="00DD229B"/>
    <w:rsid w:val="00DE1EDE"/>
    <w:rsid w:val="00DE3B49"/>
    <w:rsid w:val="00DF6160"/>
    <w:rsid w:val="00E03593"/>
    <w:rsid w:val="00E20D27"/>
    <w:rsid w:val="00E22975"/>
    <w:rsid w:val="00E34AE2"/>
    <w:rsid w:val="00E37FF9"/>
    <w:rsid w:val="00E5731F"/>
    <w:rsid w:val="00E811BF"/>
    <w:rsid w:val="00E816B3"/>
    <w:rsid w:val="00E8252C"/>
    <w:rsid w:val="00E831B2"/>
    <w:rsid w:val="00E96661"/>
    <w:rsid w:val="00EB6622"/>
    <w:rsid w:val="00EC476B"/>
    <w:rsid w:val="00EC6E72"/>
    <w:rsid w:val="00F06446"/>
    <w:rsid w:val="00F37293"/>
    <w:rsid w:val="00F4319B"/>
    <w:rsid w:val="00F47540"/>
    <w:rsid w:val="00F754A6"/>
    <w:rsid w:val="00F82927"/>
    <w:rsid w:val="00F91E5A"/>
    <w:rsid w:val="00FA398E"/>
    <w:rsid w:val="00FA4A82"/>
    <w:rsid w:val="00FB1A24"/>
    <w:rsid w:val="00FB7B18"/>
    <w:rsid w:val="00FC56DE"/>
    <w:rsid w:val="00FD17D0"/>
    <w:rsid w:val="00FD64FD"/>
    <w:rsid w:val="00FE0649"/>
    <w:rsid w:val="00FE10DA"/>
    <w:rsid w:val="00FF1939"/>
    <w:rsid w:val="00FF3824"/>
    <w:rsid w:val="00FF4429"/>
    <w:rsid w:val="00FF6CDF"/>
    <w:rsid w:val="02839A26"/>
    <w:rsid w:val="06D518CC"/>
    <w:rsid w:val="08DCA8A5"/>
    <w:rsid w:val="0A8FCF68"/>
    <w:rsid w:val="0AD55DCF"/>
    <w:rsid w:val="0FED310A"/>
    <w:rsid w:val="107DCF13"/>
    <w:rsid w:val="17C6C570"/>
    <w:rsid w:val="211C0FCF"/>
    <w:rsid w:val="275BE501"/>
    <w:rsid w:val="277A0491"/>
    <w:rsid w:val="29248013"/>
    <w:rsid w:val="2B7A2AFB"/>
    <w:rsid w:val="32DF6A4F"/>
    <w:rsid w:val="33CBA0D9"/>
    <w:rsid w:val="3ACFB6A3"/>
    <w:rsid w:val="40847FF7"/>
    <w:rsid w:val="4380A1F5"/>
    <w:rsid w:val="44FBC52A"/>
    <w:rsid w:val="49AEC3C2"/>
    <w:rsid w:val="4C61B943"/>
    <w:rsid w:val="53DA3209"/>
    <w:rsid w:val="5AA21289"/>
    <w:rsid w:val="62C33802"/>
    <w:rsid w:val="7617EDB0"/>
    <w:rsid w:val="76203C70"/>
    <w:rsid w:val="76B1B123"/>
    <w:rsid w:val="79261D88"/>
    <w:rsid w:val="7B7E44C0"/>
    <w:rsid w:val="7D002E0E"/>
    <w:rsid w:val="7E3B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213ED"/>
  <w15:chartTrackingRefBased/>
  <w15:docId w15:val="{392957DE-E10D-4759-9E8C-972C2A0B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98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11BF"/>
    <w:pPr>
      <w:spacing w:after="0" w:line="240" w:lineRule="auto"/>
    </w:pPr>
  </w:style>
  <w:style w:type="paragraph" w:styleId="BalloonText">
    <w:name w:val="Balloon Text"/>
    <w:basedOn w:val="Normal"/>
    <w:link w:val="BalloonTextChar"/>
    <w:uiPriority w:val="99"/>
    <w:semiHidden/>
    <w:unhideWhenUsed/>
    <w:rsid w:val="00287B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B28"/>
    <w:rPr>
      <w:rFonts w:ascii="Segoe UI" w:hAnsi="Segoe UI" w:cs="Segoe UI"/>
      <w:sz w:val="18"/>
      <w:szCs w:val="18"/>
    </w:rPr>
  </w:style>
  <w:style w:type="paragraph" w:styleId="ListParagraph">
    <w:name w:val="List Paragraph"/>
    <w:basedOn w:val="Normal"/>
    <w:uiPriority w:val="34"/>
    <w:qFormat/>
    <w:rsid w:val="0070783F"/>
    <w:pPr>
      <w:spacing w:after="160" w:line="259" w:lineRule="auto"/>
      <w:ind w:left="720"/>
      <w:contextualSpacing/>
    </w:pPr>
    <w:rPr>
      <w:rFonts w:asciiTheme="minorHAnsi" w:hAnsiTheme="minorHAnsi" w:cstheme="minorBidi"/>
    </w:rPr>
  </w:style>
  <w:style w:type="table" w:styleId="TableGrid">
    <w:name w:val="Table Grid"/>
    <w:basedOn w:val="TableNormal"/>
    <w:uiPriority w:val="39"/>
    <w:rsid w:val="004E0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31B2"/>
    <w:rPr>
      <w:color w:val="0563C1" w:themeColor="hyperlink"/>
      <w:u w:val="single"/>
    </w:rPr>
  </w:style>
  <w:style w:type="character" w:styleId="UnresolvedMention">
    <w:name w:val="Unresolved Mention"/>
    <w:basedOn w:val="DefaultParagraphFont"/>
    <w:uiPriority w:val="99"/>
    <w:semiHidden/>
    <w:unhideWhenUsed/>
    <w:rsid w:val="00E831B2"/>
    <w:rPr>
      <w:color w:val="605E5C"/>
      <w:shd w:val="clear" w:color="auto" w:fill="E1DFDD"/>
    </w:rPr>
  </w:style>
  <w:style w:type="paragraph" w:styleId="Revision">
    <w:name w:val="Revision"/>
    <w:hidden/>
    <w:uiPriority w:val="99"/>
    <w:semiHidden/>
    <w:rsid w:val="002F4983"/>
    <w:pPr>
      <w:spacing w:after="0" w:line="240" w:lineRule="auto"/>
    </w:pPr>
  </w:style>
  <w:style w:type="character" w:styleId="CommentReference">
    <w:name w:val="annotation reference"/>
    <w:basedOn w:val="DefaultParagraphFont"/>
    <w:uiPriority w:val="99"/>
    <w:semiHidden/>
    <w:unhideWhenUsed/>
    <w:rsid w:val="001D19F8"/>
    <w:rPr>
      <w:sz w:val="16"/>
      <w:szCs w:val="16"/>
    </w:rPr>
  </w:style>
  <w:style w:type="paragraph" w:styleId="CommentText">
    <w:name w:val="annotation text"/>
    <w:basedOn w:val="Normal"/>
    <w:link w:val="CommentTextChar"/>
    <w:uiPriority w:val="99"/>
    <w:unhideWhenUsed/>
    <w:rsid w:val="001D19F8"/>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1D19F8"/>
    <w:rPr>
      <w:sz w:val="20"/>
      <w:szCs w:val="20"/>
    </w:rPr>
  </w:style>
  <w:style w:type="paragraph" w:styleId="CommentSubject">
    <w:name w:val="annotation subject"/>
    <w:basedOn w:val="CommentText"/>
    <w:next w:val="CommentText"/>
    <w:link w:val="CommentSubjectChar"/>
    <w:uiPriority w:val="99"/>
    <w:semiHidden/>
    <w:unhideWhenUsed/>
    <w:rsid w:val="001D19F8"/>
    <w:rPr>
      <w:b/>
      <w:bCs/>
    </w:rPr>
  </w:style>
  <w:style w:type="character" w:customStyle="1" w:styleId="CommentSubjectChar">
    <w:name w:val="Comment Subject Char"/>
    <w:basedOn w:val="CommentTextChar"/>
    <w:link w:val="CommentSubject"/>
    <w:uiPriority w:val="99"/>
    <w:semiHidden/>
    <w:rsid w:val="001D19F8"/>
    <w:rPr>
      <w:b/>
      <w:bCs/>
      <w:sz w:val="20"/>
      <w:szCs w:val="20"/>
    </w:rPr>
  </w:style>
  <w:style w:type="paragraph" w:styleId="Header">
    <w:name w:val="header"/>
    <w:basedOn w:val="Normal"/>
    <w:link w:val="HeaderChar"/>
    <w:uiPriority w:val="99"/>
    <w:unhideWhenUsed/>
    <w:rsid w:val="00FE10DA"/>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FE10DA"/>
  </w:style>
  <w:style w:type="paragraph" w:styleId="Footer">
    <w:name w:val="footer"/>
    <w:basedOn w:val="Normal"/>
    <w:link w:val="FooterChar"/>
    <w:uiPriority w:val="99"/>
    <w:unhideWhenUsed/>
    <w:rsid w:val="00FE10DA"/>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FE1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28054">
      <w:bodyDiv w:val="1"/>
      <w:marLeft w:val="0"/>
      <w:marRight w:val="0"/>
      <w:marTop w:val="0"/>
      <w:marBottom w:val="0"/>
      <w:divBdr>
        <w:top w:val="none" w:sz="0" w:space="0" w:color="auto"/>
        <w:left w:val="none" w:sz="0" w:space="0" w:color="auto"/>
        <w:bottom w:val="none" w:sz="0" w:space="0" w:color="auto"/>
        <w:right w:val="none" w:sz="0" w:space="0" w:color="auto"/>
      </w:divBdr>
    </w:div>
    <w:div w:id="241959260">
      <w:bodyDiv w:val="1"/>
      <w:marLeft w:val="0"/>
      <w:marRight w:val="0"/>
      <w:marTop w:val="0"/>
      <w:marBottom w:val="0"/>
      <w:divBdr>
        <w:top w:val="none" w:sz="0" w:space="0" w:color="auto"/>
        <w:left w:val="none" w:sz="0" w:space="0" w:color="auto"/>
        <w:bottom w:val="none" w:sz="0" w:space="0" w:color="auto"/>
        <w:right w:val="none" w:sz="0" w:space="0" w:color="auto"/>
      </w:divBdr>
    </w:div>
    <w:div w:id="165190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png"/><Relationship Id="rId26" Type="http://schemas.openxmlformats.org/officeDocument/2006/relationships/image" Target="media/image18.jpg"/><Relationship Id="rId3" Type="http://schemas.openxmlformats.org/officeDocument/2006/relationships/numbering" Target="numbering.xml"/><Relationship Id="rId21" Type="http://schemas.openxmlformats.org/officeDocument/2006/relationships/image" Target="media/image13.jp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hyperlink" Target="https://www.dir.ca.gov/dwc/IMR/reports/IMR-Annual-Repor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jpg"/><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image" Target="media/image14.jpg"/><Relationship Id="rId27" Type="http://schemas.openxmlformats.org/officeDocument/2006/relationships/image" Target="media/image19.png"/><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C8D67B2EC5A645BAE74A2A9857886B" ma:contentTypeVersion="15" ma:contentTypeDescription="Create a new document." ma:contentTypeScope="" ma:versionID="4783d6c31de828b93057262d3e9fd23d">
  <xsd:schema xmlns:xsd="http://www.w3.org/2001/XMLSchema" xmlns:xs="http://www.w3.org/2001/XMLSchema" xmlns:p="http://schemas.microsoft.com/office/2006/metadata/properties" xmlns:ns2="b924e356-2efa-4382-9817-1058aa2dd719" xmlns:ns3="3f1aba43-2af1-4bcf-bef5-236581eb958f" targetNamespace="http://schemas.microsoft.com/office/2006/metadata/properties" ma:root="true" ma:fieldsID="a9f461eba1cb6932a12413ee99b4519a" ns2:_="" ns3:_="">
    <xsd:import namespace="b924e356-2efa-4382-9817-1058aa2dd719"/>
    <xsd:import namespace="3f1aba43-2af1-4bcf-bef5-236581eb95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4e356-2efa-4382-9817-1058aa2dd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c82e8b-462b-4bc7-97fa-5a13a5efbc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1aba43-2af1-4bcf-bef5-236581eb95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8ddb924-63e9-4455-a210-869ab976d40f}" ma:internalName="TaxCatchAll" ma:showField="CatchAllData" ma:web="3f1aba43-2af1-4bcf-bef5-236581eb95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FF129-F716-43F1-A407-8D5CFC19F3B3}">
  <ds:schemaRefs>
    <ds:schemaRef ds:uri="http://schemas.microsoft.com/sharepoint/v3/contenttype/forms"/>
  </ds:schemaRefs>
</ds:datastoreItem>
</file>

<file path=customXml/itemProps2.xml><?xml version="1.0" encoding="utf-8"?>
<ds:datastoreItem xmlns:ds="http://schemas.openxmlformats.org/officeDocument/2006/customXml" ds:itemID="{1989EF32-9EE7-4048-8D02-B3CAE4373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4e356-2efa-4382-9817-1058aa2dd719"/>
    <ds:schemaRef ds:uri="3f1aba43-2af1-4bcf-bef5-236581eb9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1605</Words>
  <Characters>9153</Characters>
  <Application>Microsoft Office Word</Application>
  <DocSecurity>0</DocSecurity>
  <Lines>76</Lines>
  <Paragraphs>21</Paragraphs>
  <ScaleCrop>false</ScaleCrop>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Schmelzer</dc:creator>
  <cp:keywords/>
  <dc:description/>
  <cp:lastModifiedBy>Carole Wilson</cp:lastModifiedBy>
  <cp:revision>6</cp:revision>
  <cp:lastPrinted>2023-05-25T15:35:00Z</cp:lastPrinted>
  <dcterms:created xsi:type="dcterms:W3CDTF">2023-05-23T21:37:00Z</dcterms:created>
  <dcterms:modified xsi:type="dcterms:W3CDTF">2023-06-08T17:38:00Z</dcterms:modified>
</cp:coreProperties>
</file>